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1498" w:rsidRDefault="005C3EEC">
      <w:pPr>
        <w:pStyle w:val="Proposal"/>
        <w:numPr>
          <w:ilvl w:val="0"/>
          <w:numId w:val="0"/>
        </w:numPr>
        <w:snapToGrid w:val="0"/>
        <w:ind w:left="1701" w:hanging="1701"/>
        <w:rPr>
          <w:rFonts w:ascii="Arial" w:hAnsi="Arial" w:cs="Arial"/>
          <w:b w:val="0"/>
          <w:bCs w:val="0"/>
          <w:sz w:val="22"/>
        </w:rPr>
      </w:pPr>
      <w:bookmarkStart w:id="0" w:name="OLE_LINK2"/>
      <w:bookmarkStart w:id="1" w:name="OLE_LINK1"/>
      <w:r>
        <w:rPr>
          <w:rFonts w:ascii="Arial" w:hAnsi="Arial" w:cs="Arial"/>
          <w:sz w:val="22"/>
        </w:rPr>
        <w:t>3GPP TSG RAN WG1 #10</w:t>
      </w:r>
      <w:r>
        <w:rPr>
          <w:rFonts w:ascii="Arial" w:hAnsi="Arial" w:cs="Arial" w:hint="eastAsia"/>
          <w:sz w:val="22"/>
        </w:rPr>
        <w:t>5</w:t>
      </w:r>
      <w:r>
        <w:rPr>
          <w:rFonts w:ascii="Arial" w:hAnsi="Arial" w:cs="Arial"/>
          <w:sz w:val="22"/>
        </w:rPr>
        <w:t>-e</w:t>
      </w:r>
      <w:r>
        <w:rPr>
          <w:rFonts w:ascii="Arial" w:hAnsi="Arial" w:cs="Arial"/>
          <w:sz w:val="22"/>
        </w:rPr>
        <w:tab/>
      </w:r>
      <w:r>
        <w:rPr>
          <w:rFonts w:ascii="Arial" w:hAnsi="Arial" w:cs="Arial"/>
          <w:sz w:val="22"/>
        </w:rPr>
        <w:tab/>
        <w:t xml:space="preserve"> </w:t>
      </w:r>
      <w:r>
        <w:rPr>
          <w:rFonts w:ascii="Arial" w:hAnsi="Arial" w:cs="Arial"/>
          <w:sz w:val="22"/>
        </w:rPr>
        <w:tab/>
        <w:t xml:space="preserve">                                   R1-2</w:t>
      </w:r>
      <w:r>
        <w:rPr>
          <w:rFonts w:ascii="Arial" w:hAnsi="Arial" w:cs="Arial" w:hint="eastAsia"/>
          <w:sz w:val="22"/>
        </w:rPr>
        <w:t>1</w:t>
      </w:r>
      <w:r>
        <w:rPr>
          <w:rFonts w:ascii="Arial" w:hAnsi="Arial" w:cs="Arial"/>
          <w:sz w:val="22"/>
        </w:rPr>
        <w:t>0</w:t>
      </w:r>
      <w:r w:rsidR="003F5347">
        <w:rPr>
          <w:rFonts w:ascii="Arial" w:hAnsi="Arial" w:cs="Arial"/>
          <w:sz w:val="22"/>
        </w:rPr>
        <w:t>5198</w:t>
      </w:r>
    </w:p>
    <w:p w:rsidR="00141498" w:rsidRDefault="005C3EEC">
      <w:pPr>
        <w:pStyle w:val="Proposal"/>
        <w:numPr>
          <w:ilvl w:val="0"/>
          <w:numId w:val="0"/>
        </w:numPr>
        <w:snapToGrid w:val="0"/>
        <w:ind w:left="1701" w:hanging="1701"/>
        <w:rPr>
          <w:rFonts w:ascii="Arial" w:hAnsi="Arial" w:cs="Arial"/>
          <w:b w:val="0"/>
          <w:bCs w:val="0"/>
          <w:sz w:val="22"/>
        </w:rPr>
      </w:pPr>
      <w:r>
        <w:rPr>
          <w:rFonts w:ascii="Arial" w:hAnsi="Arial" w:cs="Arial"/>
          <w:sz w:val="22"/>
        </w:rPr>
        <w:t xml:space="preserve">e-Meeting, </w:t>
      </w:r>
      <w:r>
        <w:rPr>
          <w:rFonts w:ascii="Arial" w:hAnsi="Arial" w:cs="Arial" w:hint="eastAsia"/>
          <w:sz w:val="22"/>
        </w:rPr>
        <w:t>May 10</w:t>
      </w:r>
      <w:r>
        <w:rPr>
          <w:rFonts w:ascii="Arial" w:hAnsi="Arial" w:cs="Arial"/>
          <w:sz w:val="22"/>
          <w:vertAlign w:val="superscript"/>
        </w:rPr>
        <w:t>th</w:t>
      </w:r>
      <w:r>
        <w:rPr>
          <w:rFonts w:ascii="Arial" w:hAnsi="Arial" w:cs="Arial"/>
          <w:sz w:val="22"/>
        </w:rPr>
        <w:t xml:space="preserve"> –</w:t>
      </w:r>
      <w:r>
        <w:rPr>
          <w:rFonts w:ascii="Arial" w:hAnsi="Arial" w:cs="Arial" w:hint="eastAsia"/>
          <w:sz w:val="22"/>
        </w:rPr>
        <w:t>27</w:t>
      </w:r>
      <w:r>
        <w:rPr>
          <w:rFonts w:ascii="Arial" w:hAnsi="Arial" w:cs="Arial"/>
          <w:sz w:val="22"/>
          <w:vertAlign w:val="superscript"/>
        </w:rPr>
        <w:t>th</w:t>
      </w:r>
      <w:r>
        <w:rPr>
          <w:rFonts w:ascii="Arial" w:hAnsi="Arial" w:cs="Arial"/>
          <w:sz w:val="22"/>
        </w:rPr>
        <w:t>, 202</w:t>
      </w:r>
      <w:r>
        <w:rPr>
          <w:rFonts w:ascii="Arial" w:hAnsi="Arial" w:cs="Arial" w:hint="eastAsia"/>
          <w:sz w:val="22"/>
        </w:rPr>
        <w:t>1</w:t>
      </w:r>
    </w:p>
    <w:p w:rsidR="00141498" w:rsidRDefault="00141498">
      <w:pPr>
        <w:pStyle w:val="3GPPHeader"/>
        <w:snapToGrid w:val="0"/>
        <w:rPr>
          <w:rFonts w:cs="Arial"/>
          <w:sz w:val="22"/>
        </w:rPr>
      </w:pPr>
    </w:p>
    <w:p w:rsidR="00141498" w:rsidRDefault="005C3EEC">
      <w:pPr>
        <w:pStyle w:val="3GPPHeader"/>
        <w:snapToGrid w:val="0"/>
        <w:rPr>
          <w:rFonts w:cs="Arial"/>
          <w:sz w:val="22"/>
        </w:rPr>
      </w:pPr>
      <w:r>
        <w:rPr>
          <w:rFonts w:cs="Arial"/>
          <w:sz w:val="22"/>
        </w:rPr>
        <w:t>Source:</w:t>
      </w:r>
      <w:r>
        <w:rPr>
          <w:rFonts w:cs="Arial"/>
          <w:sz w:val="22"/>
        </w:rPr>
        <w:tab/>
        <w:t>ZTE</w:t>
      </w:r>
    </w:p>
    <w:p w:rsidR="00141498" w:rsidRDefault="005C3EEC">
      <w:pPr>
        <w:pStyle w:val="3GPPHeader"/>
        <w:snapToGrid w:val="0"/>
        <w:rPr>
          <w:rFonts w:cs="Arial"/>
          <w:sz w:val="22"/>
        </w:rPr>
      </w:pPr>
      <w:r>
        <w:rPr>
          <w:rFonts w:cs="Arial"/>
          <w:sz w:val="22"/>
        </w:rPr>
        <w:t>Title:</w:t>
      </w:r>
      <w:r>
        <w:rPr>
          <w:rFonts w:cs="Arial"/>
          <w:sz w:val="22"/>
        </w:rPr>
        <w:tab/>
      </w:r>
      <w:r>
        <w:rPr>
          <w:rFonts w:cs="Arial" w:hint="eastAsia"/>
          <w:sz w:val="22"/>
        </w:rPr>
        <w:t>Discussion on LS on TA pre-compensation</w:t>
      </w:r>
    </w:p>
    <w:p w:rsidR="00141498" w:rsidRDefault="005C3EEC">
      <w:pPr>
        <w:pStyle w:val="3GPPHeader"/>
        <w:snapToGrid w:val="0"/>
        <w:rPr>
          <w:rFonts w:cs="Arial"/>
          <w:sz w:val="22"/>
        </w:rPr>
      </w:pPr>
      <w:r>
        <w:rPr>
          <w:rFonts w:cs="Arial"/>
          <w:sz w:val="22"/>
        </w:rPr>
        <w:t>Agenda Item:</w:t>
      </w:r>
      <w:r>
        <w:rPr>
          <w:rFonts w:cs="Arial"/>
          <w:sz w:val="22"/>
        </w:rPr>
        <w:tab/>
      </w:r>
      <w:r w:rsidR="003F5347">
        <w:rPr>
          <w:rFonts w:cs="Arial"/>
          <w:sz w:val="22"/>
        </w:rPr>
        <w:t>5</w:t>
      </w:r>
    </w:p>
    <w:p w:rsidR="00141498" w:rsidRDefault="005C3EEC">
      <w:pPr>
        <w:pBdr>
          <w:bottom w:val="single" w:sz="6" w:space="1" w:color="auto"/>
        </w:pBdr>
        <w:snapToGrid w:val="0"/>
        <w:rPr>
          <w:rFonts w:ascii="Arial" w:hAnsi="Arial"/>
          <w:b/>
        </w:rPr>
      </w:pPr>
      <w:r>
        <w:rPr>
          <w:rFonts w:ascii="Arial" w:hAnsi="Arial"/>
          <w:b/>
        </w:rPr>
        <w:t>Document for:  Discussion</w:t>
      </w:r>
      <w:bookmarkEnd w:id="0"/>
      <w:bookmarkEnd w:id="1"/>
    </w:p>
    <w:p w:rsidR="00141498" w:rsidRDefault="005C3EEC">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rsidR="00141498" w:rsidRDefault="005C3EEC">
      <w:pPr>
        <w:spacing w:afterLines="50" w:after="120" w:line="240" w:lineRule="auto"/>
        <w:ind w:firstLine="420"/>
        <w:rPr>
          <w:rFonts w:ascii="Times New Roman" w:hAnsi="Times New Roman"/>
          <w:i/>
          <w:iCs/>
          <w:sz w:val="20"/>
          <w:szCs w:val="20"/>
          <w:highlight w:val="yellow"/>
        </w:rPr>
      </w:pPr>
      <w:r>
        <w:rPr>
          <w:rFonts w:ascii="Times New Roman" w:hAnsi="Times New Roman"/>
          <w:sz w:val="20"/>
          <w:szCs w:val="20"/>
        </w:rPr>
        <w:t>I</w:t>
      </w:r>
      <w:r>
        <w:rPr>
          <w:rFonts w:ascii="Times New Roman" w:hAnsi="Times New Roman"/>
          <w:sz w:val="20"/>
          <w:szCs w:val="20"/>
          <w:lang w:val="en-GB"/>
        </w:rPr>
        <w:t>n RAN</w:t>
      </w:r>
      <w:r>
        <w:rPr>
          <w:rFonts w:ascii="Times New Roman" w:hAnsi="Times New Roman" w:hint="eastAsia"/>
          <w:sz w:val="20"/>
          <w:szCs w:val="20"/>
        </w:rPr>
        <w:t>2#113b-e</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_Ref40282619 \r \h  \* MERGEFORMAT </w:instrText>
      </w:r>
      <w:r>
        <w:rPr>
          <w:rFonts w:ascii="Times New Roman" w:hAnsi="Times New Roman"/>
          <w:sz w:val="20"/>
          <w:szCs w:val="20"/>
        </w:rPr>
      </w:r>
      <w:r>
        <w:rPr>
          <w:rFonts w:ascii="Times New Roman" w:hAnsi="Times New Roman"/>
          <w:sz w:val="20"/>
          <w:szCs w:val="20"/>
        </w:rPr>
        <w:fldChar w:fldCharType="separate"/>
      </w:r>
      <w:r w:rsidR="007C3917">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xml:space="preserve">, the </w:t>
      </w:r>
      <w:r>
        <w:rPr>
          <w:rFonts w:ascii="Times New Roman" w:hAnsi="Times New Roman" w:hint="eastAsia"/>
          <w:sz w:val="20"/>
          <w:szCs w:val="20"/>
        </w:rPr>
        <w:t>LS on TA pre-compensation has been proposed by RAN2 as follows</w:t>
      </w:r>
      <w:r w:rsidR="00153DF2">
        <w:rPr>
          <w:rFonts w:ascii="Times New Roman" w:hAnsi="Times New Roman"/>
          <w:sz w:val="20"/>
          <w:szCs w:val="20"/>
        </w:rPr>
        <w:t>:</w:t>
      </w:r>
    </w:p>
    <w:p w:rsidR="00141498" w:rsidRDefault="005C3EEC">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hint="eastAsia"/>
          <w:i/>
          <w:iCs/>
          <w:sz w:val="20"/>
          <w:szCs w:val="20"/>
        </w:rPr>
        <w:t xml:space="preserve">1) RAN2 respectfully requests RAN1 to prioritize the TA pre-compensation work on: (i) whether and/or what parameters to broadcast for TA pre-compensation, and (ii) when broadcasted, how often the broadcasted parameters are expected to change over time. </w:t>
      </w:r>
      <w:r>
        <w:rPr>
          <w:rFonts w:ascii="Times New Roman" w:hAnsi="Times New Roman" w:hint="eastAsia"/>
          <w:i/>
          <w:iCs/>
          <w:sz w:val="20"/>
          <w:szCs w:val="20"/>
        </w:rPr>
        <w:tab/>
      </w:r>
    </w:p>
    <w:p w:rsidR="00141498" w:rsidRDefault="005C3EEC">
      <w:pPr>
        <w:spacing w:beforeLines="50" w:before="120" w:afterLines="50" w:after="120" w:line="240" w:lineRule="auto"/>
        <w:ind w:leftChars="200" w:left="440"/>
        <w:jc w:val="both"/>
        <w:rPr>
          <w:rFonts w:ascii="Times New Roman" w:hAnsi="Times New Roman"/>
          <w:i/>
          <w:iCs/>
          <w:sz w:val="20"/>
          <w:szCs w:val="20"/>
        </w:rPr>
      </w:pPr>
      <w:r>
        <w:rPr>
          <w:rFonts w:ascii="Times New Roman" w:hAnsi="Times New Roman" w:hint="eastAsia"/>
          <w:i/>
          <w:iCs/>
          <w:sz w:val="20"/>
          <w:szCs w:val="20"/>
        </w:rPr>
        <w:t>2) RAN2 respectfully requests RAN1 to provide input on: (i) how UE determines UE-gNB RTT, and (ii) what additional information needs to be broadcasted other than that for TA pre-compensation, if any.</w:t>
      </w:r>
    </w:p>
    <w:p w:rsidR="00141498" w:rsidRDefault="005C3EEC">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hint="eastAsia"/>
          <w:i/>
          <w:iCs/>
          <w:sz w:val="20"/>
          <w:szCs w:val="20"/>
        </w:rPr>
        <w:t>3) RAN2 respectfully requests RAN1 to provide input on the exact content and frequency of UE reporting of information about the UE specific TA pre-compensation at least for uplink scheduling adaptation.</w:t>
      </w:r>
    </w:p>
    <w:p w:rsidR="00141498" w:rsidRDefault="005C3EEC">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 xml:space="preserve">the </w:t>
      </w:r>
      <w:r w:rsidR="00715DF8">
        <w:rPr>
          <w:rFonts w:ascii="Times New Roman" w:hAnsi="Times New Roman"/>
          <w:sz w:val="20"/>
          <w:szCs w:val="20"/>
        </w:rPr>
        <w:t xml:space="preserve">details for each </w:t>
      </w:r>
      <w:r>
        <w:rPr>
          <w:rFonts w:ascii="Times New Roman" w:hAnsi="Times New Roman" w:hint="eastAsia"/>
          <w:sz w:val="20"/>
          <w:szCs w:val="20"/>
        </w:rPr>
        <w:t>question</w:t>
      </w:r>
      <w:r w:rsidR="00715DF8">
        <w:rPr>
          <w:rFonts w:ascii="Times New Roman" w:hAnsi="Times New Roman"/>
          <w:sz w:val="20"/>
          <w:szCs w:val="20"/>
        </w:rPr>
        <w:t xml:space="preserve"> are elaborated</w:t>
      </w:r>
      <w:r>
        <w:rPr>
          <w:rFonts w:ascii="Times New Roman" w:hAnsi="Times New Roman"/>
          <w:sz w:val="20"/>
          <w:szCs w:val="20"/>
        </w:rPr>
        <w:t xml:space="preserve">. </w:t>
      </w:r>
    </w:p>
    <w:p w:rsidR="00141498" w:rsidRPr="00CA5893" w:rsidRDefault="005C3EEC" w:rsidP="00CA5893">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sidRPr="00CA5893">
        <w:rPr>
          <w:rFonts w:eastAsia="黑体" w:cs="Times New Roman"/>
          <w:b/>
          <w:bCs/>
          <w:sz w:val="28"/>
          <w:szCs w:val="30"/>
          <w:lang w:val="en-US"/>
        </w:rPr>
        <w:t>Parameter broadcast for TA pre-compensation</w:t>
      </w:r>
    </w:p>
    <w:p w:rsidR="00141498" w:rsidRDefault="00BC7EBB">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W.r.t the f</w:t>
      </w:r>
      <w:r w:rsidR="005C3EEC">
        <w:rPr>
          <w:rFonts w:ascii="Times New Roman" w:eastAsia="宋体" w:hAnsi="Times New Roman" w:cs="Times New Roman" w:hint="eastAsia"/>
          <w:sz w:val="20"/>
          <w:szCs w:val="20"/>
        </w:rPr>
        <w:t>irst question from RAN2</w:t>
      </w:r>
      <w:r w:rsidR="00B57966">
        <w:rPr>
          <w:rFonts w:ascii="Times New Roman" w:eastAsia="宋体" w:hAnsi="Times New Roman" w:cs="Times New Roman"/>
          <w:sz w:val="20"/>
          <w:szCs w:val="20"/>
        </w:rPr>
        <w:t>’s questions on followings:</w:t>
      </w:r>
    </w:p>
    <w:p w:rsidR="00141498" w:rsidRDefault="005C3EEC">
      <w:pPr>
        <w:pStyle w:val="ad"/>
        <w:numPr>
          <w:ilvl w:val="0"/>
          <w:numId w:val="6"/>
        </w:numPr>
        <w:spacing w:beforeLines="50" w:before="120" w:afterLines="50" w:after="120" w:line="240" w:lineRule="auto"/>
        <w:ind w:firstLineChars="0"/>
        <w:jc w:val="both"/>
        <w:rPr>
          <w:rFonts w:ascii="Times New Roman" w:hAnsi="Times New Roman"/>
          <w:sz w:val="20"/>
          <w:szCs w:val="20"/>
        </w:rPr>
      </w:pPr>
      <w:r>
        <w:rPr>
          <w:rFonts w:ascii="Times New Roman" w:hAnsi="Times New Roman" w:hint="eastAsia"/>
          <w:sz w:val="20"/>
          <w:szCs w:val="20"/>
        </w:rPr>
        <w:t>Whether and/or what parameters to broadcast for TA pre-compensation;</w:t>
      </w:r>
    </w:p>
    <w:p w:rsidR="00141498" w:rsidRDefault="005C3EEC">
      <w:pPr>
        <w:pStyle w:val="ad"/>
        <w:numPr>
          <w:ilvl w:val="0"/>
          <w:numId w:val="6"/>
        </w:numPr>
        <w:spacing w:beforeLines="50" w:before="120" w:afterLines="50" w:after="120" w:line="240" w:lineRule="auto"/>
        <w:ind w:firstLineChars="0"/>
        <w:jc w:val="both"/>
        <w:rPr>
          <w:rFonts w:ascii="Times New Roman" w:hAnsi="Times New Roman"/>
          <w:sz w:val="20"/>
          <w:szCs w:val="20"/>
        </w:rPr>
      </w:pPr>
      <w:r>
        <w:rPr>
          <w:rFonts w:ascii="Times New Roman" w:hAnsi="Times New Roman" w:hint="eastAsia"/>
          <w:sz w:val="20"/>
          <w:szCs w:val="20"/>
        </w:rPr>
        <w:t>When broadcasted, how often the broadcasted parameters are expected to change over time</w:t>
      </w:r>
      <w:r w:rsidR="00706830">
        <w:rPr>
          <w:rFonts w:ascii="Times New Roman" w:hAnsi="Times New Roman"/>
          <w:sz w:val="20"/>
          <w:szCs w:val="20"/>
        </w:rPr>
        <w:t>,</w:t>
      </w:r>
    </w:p>
    <w:p w:rsidR="00706830" w:rsidRDefault="00706830" w:rsidP="00706830">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According to the RAN1’s assumption to enable the pre-compensation mechanism, the UE should be at least enabled </w:t>
      </w:r>
      <w:r>
        <w:rPr>
          <w:rFonts w:ascii="Times New Roman" w:eastAsia="宋体" w:hAnsi="Times New Roman" w:cs="Times New Roman" w:hint="eastAsia"/>
          <w:sz w:val="20"/>
          <w:szCs w:val="20"/>
        </w:rPr>
        <w:t>to</w:t>
      </w:r>
      <w:r>
        <w:rPr>
          <w:rFonts w:ascii="Times New Roman" w:eastAsia="宋体" w:hAnsi="Times New Roman" w:cs="Times New Roman"/>
          <w:sz w:val="20"/>
          <w:szCs w:val="20"/>
        </w:rPr>
        <w:t>:</w:t>
      </w:r>
    </w:p>
    <w:p w:rsidR="00706830" w:rsidRDefault="00706830" w:rsidP="00CA5893">
      <w:pPr>
        <w:pStyle w:val="ad"/>
        <w:numPr>
          <w:ilvl w:val="0"/>
          <w:numId w:val="16"/>
        </w:numPr>
        <w:spacing w:beforeLines="50" w:before="120" w:afterLines="50" w:after="120" w:line="240" w:lineRule="auto"/>
        <w:ind w:firstLineChars="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Obtaining the </w:t>
      </w:r>
      <w:r>
        <w:rPr>
          <w:rFonts w:ascii="Times New Roman" w:eastAsia="宋体" w:hAnsi="Times New Roman" w:cs="Times New Roman" w:hint="eastAsia"/>
          <w:sz w:val="20"/>
          <w:szCs w:val="20"/>
        </w:rPr>
        <w:t xml:space="preserve">service link delay </w:t>
      </w:r>
      <w:r>
        <w:rPr>
          <w:rFonts w:ascii="Times New Roman" w:eastAsia="宋体" w:hAnsi="Times New Roman" w:cs="Times New Roman"/>
          <w:sz w:val="20"/>
          <w:szCs w:val="20"/>
        </w:rPr>
        <w:t xml:space="preserve">according to calculation </w:t>
      </w:r>
      <w:r>
        <w:rPr>
          <w:rFonts w:ascii="Times New Roman" w:eastAsia="宋体" w:hAnsi="Times New Roman" w:cs="Times New Roman" w:hint="eastAsia"/>
          <w:sz w:val="20"/>
          <w:szCs w:val="20"/>
        </w:rPr>
        <w:t xml:space="preserve">based on its GNSS capability and ephemeris of satellite. </w:t>
      </w:r>
    </w:p>
    <w:p w:rsidR="00706830" w:rsidRDefault="00706830" w:rsidP="00CA5893">
      <w:pPr>
        <w:pStyle w:val="ad"/>
        <w:numPr>
          <w:ilvl w:val="0"/>
          <w:numId w:val="16"/>
        </w:numPr>
        <w:spacing w:beforeLines="50" w:before="120" w:afterLines="50" w:after="120" w:line="240" w:lineRule="auto"/>
        <w:ind w:firstLineChars="0"/>
        <w:jc w:val="both"/>
        <w:rPr>
          <w:rFonts w:ascii="Times New Roman" w:eastAsia="宋体" w:hAnsi="Times New Roman" w:cs="Times New Roman"/>
          <w:sz w:val="20"/>
          <w:szCs w:val="20"/>
        </w:rPr>
      </w:pPr>
      <w:r>
        <w:rPr>
          <w:rFonts w:ascii="Times New Roman" w:eastAsia="宋体" w:hAnsi="Times New Roman" w:cs="Times New Roman"/>
          <w:sz w:val="20"/>
          <w:szCs w:val="20"/>
        </w:rPr>
        <w:t>Obtaining the common TA information, which may cover the impacts of feederlink.</w:t>
      </w:r>
    </w:p>
    <w:p w:rsidR="00B048C0" w:rsidRDefault="00706830" w:rsidP="00CA5893">
      <w:pPr>
        <w:spacing w:beforeLines="50" w:before="120" w:afterLines="50" w:after="120" w:line="240" w:lineRule="auto"/>
        <w:ind w:left="44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For achieving the each of functionality, </w:t>
      </w:r>
      <w:r w:rsidR="00B048C0">
        <w:rPr>
          <w:rFonts w:ascii="Times New Roman" w:eastAsia="宋体" w:hAnsi="Times New Roman" w:cs="Times New Roman"/>
          <w:sz w:val="20"/>
          <w:szCs w:val="20"/>
        </w:rPr>
        <w:t>the required information should be indicated from network. More specifically:</w:t>
      </w:r>
    </w:p>
    <w:p w:rsidR="00EB65D5" w:rsidRPr="00CA5893" w:rsidRDefault="00B04781" w:rsidP="00CA5893">
      <w:pPr>
        <w:pStyle w:val="ad"/>
        <w:numPr>
          <w:ilvl w:val="0"/>
          <w:numId w:val="21"/>
        </w:numPr>
        <w:spacing w:beforeLines="50" w:before="120" w:afterLines="50" w:after="120" w:line="240" w:lineRule="auto"/>
        <w:ind w:firstLineChars="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For the satellite information indication, </w:t>
      </w:r>
      <w:r w:rsidRPr="00CA5893">
        <w:rPr>
          <w:rFonts w:ascii="Times New Roman" w:eastAsia="宋体" w:hAnsi="Times New Roman" w:cs="Times New Roman"/>
          <w:sz w:val="20"/>
          <w:szCs w:val="20"/>
        </w:rPr>
        <w:t>a</w:t>
      </w:r>
      <w:r w:rsidR="000076AC" w:rsidRPr="00CA5893">
        <w:rPr>
          <w:rFonts w:ascii="Times New Roman" w:eastAsia="宋体" w:hAnsi="Times New Roman" w:cs="Times New Roman"/>
          <w:sz w:val="20"/>
          <w:szCs w:val="20"/>
        </w:rPr>
        <w:t>ccording to RAN1’s progress in RAN1#104b-e</w:t>
      </w:r>
      <w:r w:rsidR="008B6305">
        <w:rPr>
          <w:rFonts w:ascii="Times New Roman" w:eastAsia="宋体" w:hAnsi="Times New Roman" w:cs="Times New Roman"/>
          <w:sz w:val="20"/>
          <w:szCs w:val="20"/>
        </w:rPr>
        <w:fldChar w:fldCharType="begin"/>
      </w:r>
      <w:r w:rsidR="008B6305">
        <w:rPr>
          <w:rFonts w:ascii="Times New Roman" w:eastAsia="宋体" w:hAnsi="Times New Roman" w:cs="Times New Roman"/>
          <w:sz w:val="20"/>
          <w:szCs w:val="20"/>
        </w:rPr>
        <w:instrText xml:space="preserve"> REF _Ref71548993 \r \h </w:instrText>
      </w:r>
      <w:r w:rsidR="008B6305">
        <w:rPr>
          <w:rFonts w:ascii="Times New Roman" w:eastAsia="宋体" w:hAnsi="Times New Roman" w:cs="Times New Roman"/>
          <w:sz w:val="20"/>
          <w:szCs w:val="20"/>
        </w:rPr>
      </w:r>
      <w:r w:rsidR="008B6305">
        <w:rPr>
          <w:rFonts w:ascii="Times New Roman" w:eastAsia="宋体" w:hAnsi="Times New Roman" w:cs="Times New Roman"/>
          <w:sz w:val="20"/>
          <w:szCs w:val="20"/>
        </w:rPr>
        <w:fldChar w:fldCharType="separate"/>
      </w:r>
      <w:r w:rsidR="007C3917">
        <w:rPr>
          <w:rFonts w:ascii="Times New Roman" w:eastAsia="宋体" w:hAnsi="Times New Roman" w:cs="Times New Roman"/>
          <w:sz w:val="20"/>
          <w:szCs w:val="20"/>
        </w:rPr>
        <w:t>[2]</w:t>
      </w:r>
      <w:r w:rsidR="008B6305">
        <w:rPr>
          <w:rFonts w:ascii="Times New Roman" w:eastAsia="宋体" w:hAnsi="Times New Roman" w:cs="Times New Roman"/>
          <w:sz w:val="20"/>
          <w:szCs w:val="20"/>
        </w:rPr>
        <w:fldChar w:fldCharType="end"/>
      </w:r>
      <w:r w:rsidR="000076AC" w:rsidRPr="00CA5893">
        <w:rPr>
          <w:rFonts w:ascii="Times New Roman" w:eastAsia="宋体" w:hAnsi="Times New Roman" w:cs="Times New Roman"/>
          <w:sz w:val="20"/>
          <w:szCs w:val="20"/>
        </w:rPr>
        <w:t xml:space="preserve">, </w:t>
      </w:r>
      <w:r w:rsidR="00EB65D5" w:rsidRPr="00CA5893">
        <w:rPr>
          <w:rFonts w:ascii="Times New Roman" w:eastAsia="宋体" w:hAnsi="Times New Roman" w:cs="Times New Roman"/>
          <w:sz w:val="20"/>
          <w:szCs w:val="20"/>
        </w:rPr>
        <w:t xml:space="preserve">following agreement </w:t>
      </w:r>
      <w:r w:rsidR="000076AC" w:rsidRPr="00CA5893">
        <w:rPr>
          <w:rFonts w:ascii="Times New Roman" w:eastAsia="宋体" w:hAnsi="Times New Roman" w:cs="Times New Roman"/>
          <w:sz w:val="20"/>
          <w:szCs w:val="20"/>
        </w:rPr>
        <w:t xml:space="preserve">has been </w:t>
      </w:r>
      <w:r w:rsidR="00EB65D5" w:rsidRPr="00CA5893">
        <w:rPr>
          <w:rFonts w:ascii="Times New Roman" w:eastAsia="宋体" w:hAnsi="Times New Roman" w:cs="Times New Roman"/>
          <w:sz w:val="20"/>
          <w:szCs w:val="20"/>
        </w:rPr>
        <w:t>achieved:</w:t>
      </w:r>
    </w:p>
    <w:p w:rsidR="000438E0" w:rsidRDefault="000438E0" w:rsidP="00CA5893">
      <w:pPr>
        <w:spacing w:beforeLines="50" w:before="120" w:afterLines="50" w:after="120" w:line="240" w:lineRule="auto"/>
        <w:ind w:leftChars="400" w:left="88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0438E0" w:rsidRDefault="000438E0" w:rsidP="00CA5893">
      <w:pPr>
        <w:spacing w:beforeLines="50" w:before="120" w:afterLines="50" w:after="120" w:line="240" w:lineRule="auto"/>
        <w:ind w:leftChars="400" w:left="880"/>
        <w:jc w:val="both"/>
        <w:rPr>
          <w:rFonts w:ascii="Times New Roman" w:hAnsi="Times New Roman"/>
          <w:i/>
          <w:iCs/>
          <w:sz w:val="20"/>
          <w:szCs w:val="20"/>
          <w:lang w:eastAsia="zh-TW"/>
        </w:rPr>
      </w:pPr>
      <w:r>
        <w:rPr>
          <w:rFonts w:ascii="Times New Roman" w:hAnsi="Times New Roman"/>
          <w:i/>
          <w:iCs/>
          <w:sz w:val="20"/>
          <w:szCs w:val="20"/>
          <w:lang w:eastAsia="zh-TW"/>
        </w:rPr>
        <w:t>Support serving-satellite ephemeris broadcast based on one or more of the following:</w:t>
      </w:r>
    </w:p>
    <w:p w:rsidR="000438E0" w:rsidRDefault="000438E0" w:rsidP="00CA5893">
      <w:pPr>
        <w:numPr>
          <w:ilvl w:val="1"/>
          <w:numId w:val="9"/>
        </w:numPr>
        <w:spacing w:after="0" w:line="240" w:lineRule="auto"/>
        <w:ind w:leftChars="718" w:left="1940"/>
        <w:rPr>
          <w:rFonts w:ascii="Times New Roman" w:hAnsi="Times New Roman" w:cs="Times New Roman"/>
          <w:i/>
          <w:iCs/>
          <w:sz w:val="20"/>
          <w:szCs w:val="20"/>
          <w:lang w:eastAsia="zh-TW"/>
        </w:rPr>
      </w:pPr>
      <w:r>
        <w:rPr>
          <w:rFonts w:ascii="Times New Roman" w:hAnsi="Times New Roman" w:cs="Times New Roman"/>
          <w:i/>
          <w:iCs/>
          <w:sz w:val="20"/>
          <w:szCs w:val="20"/>
          <w:lang w:eastAsia="zh-TW"/>
        </w:rPr>
        <w:t xml:space="preserve">Set 1: Satellite position and velocity state vectors: </w:t>
      </w:r>
    </w:p>
    <w:p w:rsidR="000438E0" w:rsidRDefault="000438E0" w:rsidP="00CA5893">
      <w:pPr>
        <w:numPr>
          <w:ilvl w:val="2"/>
          <w:numId w:val="9"/>
        </w:numPr>
        <w:spacing w:after="0" w:line="240" w:lineRule="auto"/>
        <w:ind w:leftChars="1045" w:left="2659"/>
        <w:rPr>
          <w:rFonts w:ascii="Times New Roman" w:hAnsi="Times New Roman" w:cs="Times New Roman"/>
          <w:i/>
          <w:iCs/>
          <w:sz w:val="20"/>
          <w:szCs w:val="20"/>
          <w:lang w:eastAsia="zh-TW"/>
        </w:rPr>
      </w:pPr>
      <w:r>
        <w:rPr>
          <w:rFonts w:ascii="Times New Roman" w:hAnsi="Times New Roman" w:cs="Times New Roman"/>
          <w:i/>
          <w:iCs/>
          <w:sz w:val="20"/>
          <w:szCs w:val="20"/>
          <w:lang w:eastAsia="zh-TW"/>
        </w:rPr>
        <w:t xml:space="preserve">position X,Y,Z in ECEF (m)  </w:t>
      </w:r>
    </w:p>
    <w:p w:rsidR="000438E0" w:rsidRDefault="000438E0" w:rsidP="00CA5893">
      <w:pPr>
        <w:numPr>
          <w:ilvl w:val="2"/>
          <w:numId w:val="9"/>
        </w:numPr>
        <w:spacing w:after="0" w:line="240" w:lineRule="auto"/>
        <w:ind w:leftChars="1045" w:left="2659"/>
        <w:rPr>
          <w:rFonts w:ascii="Times New Roman" w:hAnsi="Times New Roman" w:cs="Times New Roman"/>
          <w:i/>
          <w:iCs/>
          <w:sz w:val="20"/>
          <w:szCs w:val="20"/>
          <w:lang w:eastAsia="zh-TW"/>
        </w:rPr>
      </w:pPr>
      <w:r>
        <w:rPr>
          <w:rFonts w:ascii="Times New Roman" w:hAnsi="Times New Roman" w:cs="Times New Roman"/>
          <w:i/>
          <w:iCs/>
          <w:sz w:val="20"/>
          <w:szCs w:val="20"/>
          <w:lang w:eastAsia="zh-TW"/>
        </w:rPr>
        <w:t>velocity VX,VY,VZ in ECEF (m/s)</w:t>
      </w:r>
    </w:p>
    <w:p w:rsidR="000438E0" w:rsidRDefault="000438E0" w:rsidP="00CA5893">
      <w:pPr>
        <w:numPr>
          <w:ilvl w:val="1"/>
          <w:numId w:val="9"/>
        </w:numPr>
        <w:spacing w:after="0" w:line="240" w:lineRule="auto"/>
        <w:ind w:leftChars="718" w:left="1940"/>
        <w:rPr>
          <w:rFonts w:ascii="Times New Roman" w:hAnsi="Times New Roman" w:cs="Times New Roman"/>
          <w:i/>
          <w:iCs/>
          <w:sz w:val="20"/>
          <w:szCs w:val="20"/>
          <w:lang w:eastAsia="zh-TW"/>
        </w:rPr>
      </w:pPr>
      <w:r>
        <w:rPr>
          <w:rFonts w:ascii="Times New Roman" w:hAnsi="Times New Roman" w:cs="Times New Roman"/>
          <w:i/>
          <w:iCs/>
          <w:sz w:val="20"/>
          <w:szCs w:val="20"/>
          <w:lang w:eastAsia="zh-TW"/>
        </w:rPr>
        <w:t>Set 2: At least the following parameters in orbital parameter ephemeris format:</w:t>
      </w:r>
    </w:p>
    <w:p w:rsidR="000438E0" w:rsidRDefault="000438E0" w:rsidP="00CA5893">
      <w:pPr>
        <w:numPr>
          <w:ilvl w:val="2"/>
          <w:numId w:val="9"/>
        </w:numPr>
        <w:spacing w:after="0" w:line="240" w:lineRule="auto"/>
        <w:ind w:leftChars="1045" w:left="2659"/>
        <w:rPr>
          <w:rFonts w:ascii="Times New Roman" w:hAnsi="Times New Roman" w:cs="Times New Roman"/>
          <w:i/>
          <w:iCs/>
          <w:sz w:val="20"/>
          <w:szCs w:val="20"/>
          <w:lang w:eastAsia="zh-TW"/>
        </w:rPr>
      </w:pPr>
      <w:r>
        <w:rPr>
          <w:rFonts w:ascii="Times New Roman" w:hAnsi="Times New Roman" w:cs="Times New Roman"/>
          <w:i/>
          <w:iCs/>
          <w:sz w:val="20"/>
          <w:szCs w:val="20"/>
          <w:lang w:eastAsia="zh-TW"/>
        </w:rPr>
        <w:t xml:space="preserve">Semi-major axis α [m] </w:t>
      </w:r>
    </w:p>
    <w:p w:rsidR="000438E0" w:rsidRDefault="000438E0" w:rsidP="00CA5893">
      <w:pPr>
        <w:numPr>
          <w:ilvl w:val="2"/>
          <w:numId w:val="9"/>
        </w:numPr>
        <w:spacing w:after="0" w:line="240" w:lineRule="auto"/>
        <w:ind w:leftChars="1045" w:left="2659"/>
        <w:rPr>
          <w:rFonts w:ascii="Times New Roman" w:hAnsi="Times New Roman" w:cs="Times New Roman"/>
          <w:i/>
          <w:iCs/>
          <w:sz w:val="20"/>
          <w:szCs w:val="20"/>
          <w:lang w:eastAsia="zh-TW"/>
        </w:rPr>
      </w:pPr>
      <w:r>
        <w:rPr>
          <w:rFonts w:ascii="Times New Roman" w:hAnsi="Times New Roman" w:cs="Times New Roman"/>
          <w:i/>
          <w:iCs/>
          <w:sz w:val="20"/>
          <w:szCs w:val="20"/>
          <w:lang w:eastAsia="zh-TW"/>
        </w:rPr>
        <w:t xml:space="preserve">Eccentricity e </w:t>
      </w:r>
    </w:p>
    <w:p w:rsidR="000438E0" w:rsidRDefault="000438E0" w:rsidP="00CA5893">
      <w:pPr>
        <w:numPr>
          <w:ilvl w:val="2"/>
          <w:numId w:val="9"/>
        </w:numPr>
        <w:spacing w:after="0" w:line="240" w:lineRule="auto"/>
        <w:ind w:leftChars="1045" w:left="2659"/>
        <w:rPr>
          <w:rFonts w:ascii="Times New Roman" w:hAnsi="Times New Roman" w:cs="Times New Roman"/>
          <w:i/>
          <w:iCs/>
          <w:sz w:val="20"/>
          <w:szCs w:val="20"/>
          <w:lang w:eastAsia="zh-TW"/>
        </w:rPr>
      </w:pPr>
      <w:r>
        <w:rPr>
          <w:rFonts w:ascii="Times New Roman" w:hAnsi="Times New Roman" w:cs="Times New Roman"/>
          <w:i/>
          <w:iCs/>
          <w:sz w:val="20"/>
          <w:szCs w:val="20"/>
          <w:lang w:eastAsia="zh-TW"/>
        </w:rPr>
        <w:t xml:space="preserve">Argument of periapsis ω [rad] </w:t>
      </w:r>
    </w:p>
    <w:p w:rsidR="000438E0" w:rsidRDefault="000438E0" w:rsidP="00CA5893">
      <w:pPr>
        <w:numPr>
          <w:ilvl w:val="2"/>
          <w:numId w:val="9"/>
        </w:numPr>
        <w:spacing w:after="0" w:line="240" w:lineRule="auto"/>
        <w:ind w:leftChars="1045" w:left="2659"/>
        <w:rPr>
          <w:rFonts w:ascii="Times New Roman" w:hAnsi="Times New Roman" w:cs="Times New Roman"/>
          <w:i/>
          <w:iCs/>
          <w:sz w:val="20"/>
          <w:szCs w:val="20"/>
          <w:lang w:eastAsia="zh-TW"/>
        </w:rPr>
      </w:pPr>
      <w:r>
        <w:rPr>
          <w:rFonts w:ascii="Times New Roman" w:hAnsi="Times New Roman" w:cs="Times New Roman"/>
          <w:i/>
          <w:iCs/>
          <w:sz w:val="20"/>
          <w:szCs w:val="20"/>
          <w:lang w:eastAsia="zh-TW"/>
        </w:rPr>
        <w:t xml:space="preserve">Longitude of ascending node Ω [rad] </w:t>
      </w:r>
    </w:p>
    <w:p w:rsidR="000438E0" w:rsidRDefault="000438E0" w:rsidP="00CA5893">
      <w:pPr>
        <w:numPr>
          <w:ilvl w:val="2"/>
          <w:numId w:val="9"/>
        </w:numPr>
        <w:spacing w:after="0" w:line="240" w:lineRule="auto"/>
        <w:ind w:leftChars="1045" w:left="2659"/>
        <w:rPr>
          <w:rFonts w:ascii="Times New Roman" w:hAnsi="Times New Roman" w:cs="Times New Roman"/>
          <w:i/>
          <w:iCs/>
          <w:sz w:val="20"/>
          <w:szCs w:val="20"/>
          <w:lang w:eastAsia="zh-TW"/>
        </w:rPr>
      </w:pPr>
      <w:r>
        <w:rPr>
          <w:rFonts w:ascii="Times New Roman" w:hAnsi="Times New Roman" w:cs="Times New Roman"/>
          <w:i/>
          <w:iCs/>
          <w:sz w:val="20"/>
          <w:szCs w:val="20"/>
          <w:lang w:eastAsia="zh-TW"/>
        </w:rPr>
        <w:t xml:space="preserve">Inclination i [rad] </w:t>
      </w:r>
    </w:p>
    <w:p w:rsidR="000438E0" w:rsidRDefault="000438E0" w:rsidP="00CA5893">
      <w:pPr>
        <w:numPr>
          <w:ilvl w:val="2"/>
          <w:numId w:val="9"/>
        </w:numPr>
        <w:spacing w:after="0" w:line="240" w:lineRule="auto"/>
        <w:ind w:leftChars="1045" w:left="2659"/>
        <w:rPr>
          <w:rFonts w:ascii="Times New Roman" w:hAnsi="Times New Roman" w:cs="Times New Roman"/>
          <w:i/>
          <w:iCs/>
          <w:sz w:val="20"/>
          <w:szCs w:val="20"/>
          <w:lang w:eastAsia="zh-TW"/>
        </w:rPr>
      </w:pPr>
      <w:r>
        <w:rPr>
          <w:rFonts w:ascii="Times New Roman" w:hAnsi="Times New Roman" w:cs="Times New Roman"/>
          <w:i/>
          <w:iCs/>
          <w:sz w:val="20"/>
          <w:szCs w:val="20"/>
          <w:lang w:eastAsia="zh-TW"/>
        </w:rPr>
        <w:t xml:space="preserve">Mean anomaly M [rad] at epoch time </w:t>
      </w:r>
      <w:r>
        <w:rPr>
          <w:rFonts w:ascii="Times New Roman" w:hAnsi="Times New Roman" w:cs="Times New Roman"/>
          <w:i/>
          <w:iCs/>
          <w:sz w:val="24"/>
          <w:szCs w:val="24"/>
          <w:lang w:eastAsia="zh-TW"/>
        </w:rPr>
        <w:t>t</w:t>
      </w:r>
      <w:r>
        <w:rPr>
          <w:rFonts w:ascii="Times New Roman" w:hAnsi="Times New Roman" w:cs="Times New Roman"/>
          <w:i/>
          <w:iCs/>
          <w:sz w:val="24"/>
          <w:szCs w:val="24"/>
          <w:vertAlign w:val="subscript"/>
          <w:lang w:eastAsia="zh-TW"/>
        </w:rPr>
        <w:t>o</w:t>
      </w:r>
    </w:p>
    <w:p w:rsidR="000438E0" w:rsidRDefault="000438E0" w:rsidP="00CA5893">
      <w:pPr>
        <w:numPr>
          <w:ilvl w:val="1"/>
          <w:numId w:val="9"/>
        </w:numPr>
        <w:spacing w:after="0" w:line="240" w:lineRule="auto"/>
        <w:ind w:leftChars="718" w:left="1940"/>
        <w:rPr>
          <w:rFonts w:ascii="Times New Roman" w:hAnsi="Times New Roman" w:cs="Times New Roman"/>
          <w:i/>
          <w:iCs/>
          <w:sz w:val="20"/>
          <w:szCs w:val="20"/>
          <w:lang w:eastAsia="zh-TW"/>
        </w:rPr>
      </w:pPr>
      <w:r>
        <w:rPr>
          <w:rFonts w:ascii="Times New Roman" w:hAnsi="Times New Roman" w:cs="Times New Roman"/>
          <w:i/>
          <w:iCs/>
          <w:sz w:val="20"/>
          <w:szCs w:val="20"/>
          <w:lang w:eastAsia="zh-TW"/>
        </w:rPr>
        <w:t>FFS: Whether pre-provisioned ephemeris based on orbital elements can be used as reference. Thereby, only delta corrections can be broadcast in order to reduce the overhead</w:t>
      </w:r>
    </w:p>
    <w:p w:rsidR="000438E0" w:rsidRDefault="000438E0" w:rsidP="00CA5893">
      <w:pPr>
        <w:numPr>
          <w:ilvl w:val="1"/>
          <w:numId w:val="9"/>
        </w:numPr>
        <w:spacing w:after="0" w:line="240" w:lineRule="auto"/>
        <w:ind w:leftChars="718" w:left="1940"/>
        <w:rPr>
          <w:rFonts w:ascii="Times New Roman" w:hAnsi="Times New Roman" w:cs="Times New Roman"/>
          <w:i/>
          <w:iCs/>
          <w:sz w:val="20"/>
          <w:szCs w:val="20"/>
          <w:lang w:eastAsia="zh-TW"/>
        </w:rPr>
      </w:pPr>
      <w:r>
        <w:rPr>
          <w:rFonts w:ascii="Times New Roman" w:hAnsi="Times New Roman" w:cs="Times New Roman"/>
          <w:i/>
          <w:iCs/>
          <w:sz w:val="20"/>
          <w:szCs w:val="20"/>
          <w:lang w:eastAsia="zh-TW"/>
        </w:rPr>
        <w:lastRenderedPageBreak/>
        <w:t>FFS: The field size for each parameter</w:t>
      </w:r>
    </w:p>
    <w:p w:rsidR="000438E0" w:rsidRDefault="000438E0" w:rsidP="00CA5893">
      <w:pPr>
        <w:numPr>
          <w:ilvl w:val="1"/>
          <w:numId w:val="9"/>
        </w:numPr>
        <w:spacing w:after="0" w:line="240" w:lineRule="auto"/>
        <w:ind w:leftChars="718" w:left="1940"/>
        <w:rPr>
          <w:rFonts w:ascii="Times New Roman" w:hAnsi="Times New Roman" w:cs="Times New Roman"/>
          <w:i/>
          <w:iCs/>
          <w:sz w:val="20"/>
          <w:szCs w:val="20"/>
          <w:lang w:eastAsia="zh-TW"/>
        </w:rPr>
      </w:pPr>
      <w:r>
        <w:rPr>
          <w:rFonts w:ascii="Times New Roman" w:hAnsi="Times New Roman" w:cs="Times New Roman"/>
          <w:i/>
          <w:iCs/>
          <w:sz w:val="20"/>
          <w:szCs w:val="20"/>
          <w:lang w:eastAsia="zh-TW"/>
        </w:rPr>
        <w:t>FFS: The impact on signaling due to the required accuracy of serving-satellite ephemeris</w:t>
      </w:r>
    </w:p>
    <w:p w:rsidR="000438E0" w:rsidRPr="00CA5893" w:rsidRDefault="000438E0" w:rsidP="00CA5893">
      <w:pPr>
        <w:numPr>
          <w:ilvl w:val="1"/>
          <w:numId w:val="9"/>
        </w:numPr>
        <w:spacing w:after="0" w:line="240" w:lineRule="auto"/>
        <w:ind w:leftChars="718" w:left="1940"/>
      </w:pPr>
      <w:r>
        <w:rPr>
          <w:rFonts w:ascii="Times New Roman" w:hAnsi="Times New Roman" w:cs="Times New Roman"/>
          <w:i/>
          <w:iCs/>
          <w:sz w:val="20"/>
          <w:szCs w:val="20"/>
          <w:lang w:eastAsia="ko-KR"/>
        </w:rPr>
        <w:t>FFS: Whether down-selection is needed or both sets are supported</w:t>
      </w:r>
    </w:p>
    <w:p w:rsidR="00081218" w:rsidRPr="00CA5893" w:rsidRDefault="00081218" w:rsidP="00CA5893">
      <w:pPr>
        <w:pStyle w:val="ad"/>
        <w:spacing w:beforeLines="100" w:before="240" w:afterLines="50" w:after="120" w:line="240" w:lineRule="auto"/>
        <w:ind w:left="839" w:firstLineChars="0" w:firstLine="0"/>
        <w:jc w:val="both"/>
        <w:rPr>
          <w:rFonts w:ascii="Times New Roman" w:eastAsia="宋体" w:hAnsi="Times New Roman" w:cs="Times New Roman"/>
          <w:sz w:val="20"/>
          <w:szCs w:val="20"/>
        </w:rPr>
      </w:pPr>
      <w:r w:rsidRPr="00CA5893">
        <w:rPr>
          <w:rFonts w:ascii="Times New Roman" w:eastAsia="宋体" w:hAnsi="Times New Roman" w:cs="Times New Roman"/>
          <w:sz w:val="20"/>
          <w:szCs w:val="20"/>
        </w:rPr>
        <w:t>W.r.t the</w:t>
      </w:r>
      <w:r>
        <w:rPr>
          <w:rFonts w:ascii="Times New Roman" w:eastAsia="宋体" w:hAnsi="Times New Roman" w:cs="Times New Roman"/>
          <w:sz w:val="20"/>
          <w:szCs w:val="20"/>
        </w:rPr>
        <w:t xml:space="preserve"> potential down-selection between these two sets, as highlighted in our contribution </w:t>
      </w:r>
      <w:r w:rsidR="008B6305">
        <w:rPr>
          <w:rFonts w:ascii="Times New Roman" w:eastAsia="宋体" w:hAnsi="Times New Roman" w:cs="Times New Roman"/>
          <w:sz w:val="20"/>
          <w:szCs w:val="20"/>
        </w:rPr>
        <w:fldChar w:fldCharType="begin"/>
      </w:r>
      <w:r w:rsidR="008B6305">
        <w:rPr>
          <w:rFonts w:ascii="Times New Roman" w:eastAsia="宋体" w:hAnsi="Times New Roman" w:cs="Times New Roman"/>
          <w:sz w:val="20"/>
          <w:szCs w:val="20"/>
        </w:rPr>
        <w:instrText xml:space="preserve"> REF _Ref71549026 \r \h </w:instrText>
      </w:r>
      <w:r w:rsidR="008B6305">
        <w:rPr>
          <w:rFonts w:ascii="Times New Roman" w:eastAsia="宋体" w:hAnsi="Times New Roman" w:cs="Times New Roman"/>
          <w:sz w:val="20"/>
          <w:szCs w:val="20"/>
        </w:rPr>
      </w:r>
      <w:r w:rsidR="008B6305">
        <w:rPr>
          <w:rFonts w:ascii="Times New Roman" w:eastAsia="宋体" w:hAnsi="Times New Roman" w:cs="Times New Roman"/>
          <w:sz w:val="20"/>
          <w:szCs w:val="20"/>
        </w:rPr>
        <w:fldChar w:fldCharType="separate"/>
      </w:r>
      <w:r w:rsidR="007C3917">
        <w:rPr>
          <w:rFonts w:ascii="Times New Roman" w:eastAsia="宋体" w:hAnsi="Times New Roman" w:cs="Times New Roman"/>
          <w:sz w:val="20"/>
          <w:szCs w:val="20"/>
        </w:rPr>
        <w:t>[3]</w:t>
      </w:r>
      <w:r w:rsidR="008B6305">
        <w:rPr>
          <w:rFonts w:ascii="Times New Roman" w:eastAsia="宋体" w:hAnsi="Times New Roman" w:cs="Times New Roman"/>
          <w:sz w:val="20"/>
          <w:szCs w:val="20"/>
        </w:rPr>
        <w:fldChar w:fldCharType="end"/>
      </w:r>
      <w:r w:rsidR="008B6305">
        <w:rPr>
          <w:rFonts w:ascii="Times New Roman" w:eastAsia="宋体" w:hAnsi="Times New Roman" w:cs="Times New Roman"/>
          <w:sz w:val="20"/>
          <w:szCs w:val="20"/>
        </w:rPr>
        <w:t xml:space="preserve">, it can be found that </w:t>
      </w:r>
      <w:r w:rsidR="00DA1C77">
        <w:rPr>
          <w:rFonts w:ascii="Times New Roman" w:eastAsia="宋体" w:hAnsi="Times New Roman" w:cs="Times New Roman"/>
          <w:sz w:val="20"/>
          <w:szCs w:val="20"/>
        </w:rPr>
        <w:t xml:space="preserve">at least </w:t>
      </w:r>
      <w:r w:rsidR="008B6305">
        <w:rPr>
          <w:rFonts w:ascii="Times New Roman" w:eastAsia="宋体" w:hAnsi="Times New Roman" w:cs="Times New Roman"/>
          <w:sz w:val="20"/>
          <w:szCs w:val="20"/>
        </w:rPr>
        <w:t xml:space="preserve">the indication of set-1 should be </w:t>
      </w:r>
      <w:r w:rsidR="00DA1C77">
        <w:rPr>
          <w:rFonts w:ascii="Times New Roman" w:eastAsia="宋体" w:hAnsi="Times New Roman" w:cs="Times New Roman"/>
          <w:sz w:val="20"/>
          <w:szCs w:val="20"/>
        </w:rPr>
        <w:t>supported to enable the required functionality.</w:t>
      </w:r>
      <w:r w:rsidR="0088213D">
        <w:rPr>
          <w:rFonts w:ascii="Times New Roman" w:eastAsia="宋体" w:hAnsi="Times New Roman" w:cs="Times New Roman"/>
          <w:sz w:val="20"/>
          <w:szCs w:val="20"/>
        </w:rPr>
        <w:t xml:space="preserve"> For </w:t>
      </w:r>
      <w:r w:rsidR="00A5574A">
        <w:rPr>
          <w:rFonts w:ascii="Times New Roman" w:eastAsia="宋体" w:hAnsi="Times New Roman" w:cs="Times New Roman"/>
          <w:sz w:val="20"/>
          <w:szCs w:val="20"/>
        </w:rPr>
        <w:t>the</w:t>
      </w:r>
      <w:r w:rsidR="0088213D">
        <w:rPr>
          <w:rFonts w:ascii="Times New Roman" w:eastAsia="宋体" w:hAnsi="Times New Roman" w:cs="Times New Roman"/>
          <w:sz w:val="20"/>
          <w:szCs w:val="20"/>
        </w:rPr>
        <w:t xml:space="preserve"> </w:t>
      </w:r>
      <w:r w:rsidR="002519C7">
        <w:rPr>
          <w:rFonts w:ascii="Times New Roman" w:eastAsia="宋体" w:hAnsi="Times New Roman" w:cs="Times New Roman"/>
          <w:sz w:val="20"/>
          <w:szCs w:val="20"/>
        </w:rPr>
        <w:t xml:space="preserve">frequency of indication of this information, to enable the high accurate TA estimation and frequency at UE side, corresponding value should be determined up to the requirements defined </w:t>
      </w:r>
      <w:r w:rsidR="002519C7" w:rsidRPr="00E30AB1">
        <w:rPr>
          <w:rFonts w:ascii="Times New Roman" w:eastAsia="宋体" w:hAnsi="Times New Roman" w:cs="Times New Roman" w:hint="eastAsia"/>
          <w:sz w:val="20"/>
          <w:szCs w:val="20"/>
        </w:rPr>
        <w:t>in RAN4</w:t>
      </w:r>
      <w:r w:rsidR="002519C7">
        <w:rPr>
          <w:rFonts w:ascii="Times New Roman" w:eastAsia="宋体" w:hAnsi="Times New Roman" w:cs="Times New Roman"/>
          <w:sz w:val="20"/>
          <w:szCs w:val="20"/>
        </w:rPr>
        <w:t xml:space="preserve">. Based on the latest progress, the relevant agreement on TA is not yet decided. But according to our contribution, the updates on the indication of set-1 to enabling the pre-compensation should be indicated per </w:t>
      </w:r>
      <w:r w:rsidR="002519C7" w:rsidRPr="00E30AB1">
        <w:rPr>
          <w:rFonts w:ascii="Times New Roman" w:eastAsia="宋体" w:hAnsi="Times New Roman" w:cs="Times New Roman" w:hint="eastAsia"/>
          <w:sz w:val="20"/>
          <w:szCs w:val="20"/>
        </w:rPr>
        <w:t>tens of seconds</w:t>
      </w:r>
      <w:r w:rsidR="006F3449">
        <w:rPr>
          <w:rFonts w:ascii="Times New Roman" w:eastAsia="宋体" w:hAnsi="Times New Roman" w:cs="Times New Roman"/>
          <w:sz w:val="20"/>
          <w:szCs w:val="20"/>
        </w:rPr>
        <w:t>, e.g.,</w:t>
      </w:r>
      <w:r w:rsidR="00CE05BE">
        <w:rPr>
          <w:rFonts w:ascii="Times New Roman" w:eastAsia="宋体" w:hAnsi="Times New Roman" w:cs="Times New Roman"/>
          <w:sz w:val="20"/>
          <w:szCs w:val="20"/>
        </w:rPr>
        <w:t xml:space="preserve"> the upper bound of periodicity should be less than</w:t>
      </w:r>
      <w:r w:rsidR="006F3449">
        <w:rPr>
          <w:rFonts w:ascii="Times New Roman" w:eastAsia="宋体" w:hAnsi="Times New Roman" w:cs="Times New Roman"/>
          <w:sz w:val="20"/>
          <w:szCs w:val="20"/>
        </w:rPr>
        <w:t xml:space="preserve"> </w:t>
      </w:r>
      <w:r w:rsidR="006F3449" w:rsidRPr="006F3449">
        <w:rPr>
          <w:rFonts w:ascii="Times New Roman" w:eastAsia="宋体" w:hAnsi="Times New Roman" w:cs="Times New Roman"/>
          <w:sz w:val="20"/>
          <w:szCs w:val="20"/>
        </w:rPr>
        <w:t>60s or 30s based on the defined TA error range from RAN4 (e.g., CP/2 and Te), respectively</w:t>
      </w:r>
      <w:r w:rsidR="002519C7" w:rsidRPr="00E30AB1">
        <w:rPr>
          <w:rFonts w:ascii="Times New Roman" w:eastAsia="宋体" w:hAnsi="Times New Roman" w:cs="Times New Roman" w:hint="eastAsia"/>
          <w:sz w:val="20"/>
          <w:szCs w:val="20"/>
        </w:rPr>
        <w:t>.</w:t>
      </w:r>
    </w:p>
    <w:p w:rsidR="00835726" w:rsidRPr="00E30AB1" w:rsidRDefault="00835726" w:rsidP="00835726">
      <w:pPr>
        <w:pStyle w:val="ad"/>
        <w:numPr>
          <w:ilvl w:val="0"/>
          <w:numId w:val="21"/>
        </w:numPr>
        <w:spacing w:beforeLines="50" w:before="120" w:afterLines="50" w:after="120" w:line="240" w:lineRule="auto"/>
        <w:ind w:firstLineChars="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For the TA information, </w:t>
      </w:r>
      <w:r w:rsidRPr="00E30AB1">
        <w:rPr>
          <w:rFonts w:ascii="Times New Roman" w:eastAsia="宋体" w:hAnsi="Times New Roman" w:cs="Times New Roman"/>
          <w:sz w:val="20"/>
          <w:szCs w:val="20"/>
        </w:rPr>
        <w:t>according to RAN1’s progress in RAN1#104b-e</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_Ref71548993 \r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007C3917">
        <w:rPr>
          <w:rFonts w:ascii="Times New Roman" w:eastAsia="宋体" w:hAnsi="Times New Roman" w:cs="Times New Roman"/>
          <w:sz w:val="20"/>
          <w:szCs w:val="20"/>
        </w:rPr>
        <w:t>[2]</w:t>
      </w:r>
      <w:r>
        <w:rPr>
          <w:rFonts w:ascii="Times New Roman" w:eastAsia="宋体" w:hAnsi="Times New Roman" w:cs="Times New Roman"/>
          <w:sz w:val="20"/>
          <w:szCs w:val="20"/>
        </w:rPr>
        <w:fldChar w:fldCharType="end"/>
      </w:r>
      <w:r w:rsidRPr="00E30AB1">
        <w:rPr>
          <w:rFonts w:ascii="Times New Roman" w:eastAsia="宋体" w:hAnsi="Times New Roman" w:cs="Times New Roman"/>
          <w:sz w:val="20"/>
          <w:szCs w:val="20"/>
        </w:rPr>
        <w:t>, following agreement has been achieved:</w:t>
      </w:r>
    </w:p>
    <w:p w:rsidR="001660D8" w:rsidRDefault="001660D8" w:rsidP="00CA5893">
      <w:pPr>
        <w:spacing w:beforeLines="50" w:before="120" w:afterLines="50" w:after="120" w:line="240" w:lineRule="auto"/>
        <w:ind w:leftChars="400" w:left="88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1660D8" w:rsidRDefault="001660D8" w:rsidP="00CA5893">
      <w:pPr>
        <w:spacing w:beforeLines="50" w:before="120" w:afterLines="50" w:after="120" w:line="240" w:lineRule="auto"/>
        <w:ind w:leftChars="400" w:left="880"/>
        <w:jc w:val="both"/>
        <w:rPr>
          <w:rFonts w:ascii="Times New Roman" w:hAnsi="Times New Roman"/>
          <w:i/>
          <w:iCs/>
          <w:sz w:val="20"/>
          <w:szCs w:val="20"/>
        </w:rPr>
      </w:pPr>
      <w:r>
        <w:rPr>
          <w:rFonts w:ascii="Times New Roman" w:hAnsi="Times New Roman"/>
          <w:i/>
          <w:iCs/>
          <w:sz w:val="20"/>
          <w:szCs w:val="20"/>
        </w:rPr>
        <w:t>The Timing Advance applied by an NR NTN UE in RRC_IDLE/INACTIVE and RRC_CONNECTED is given by:</w:t>
      </w:r>
    </w:p>
    <w:p w:rsidR="001660D8" w:rsidRDefault="001D07E2" w:rsidP="00CA5893">
      <w:pPr>
        <w:spacing w:beforeLines="50" w:before="120" w:afterLines="50" w:after="120" w:line="240" w:lineRule="auto"/>
        <w:ind w:leftChars="400" w:left="880"/>
        <w:jc w:val="both"/>
        <w:rPr>
          <w:rFonts w:ascii="Times New Roman" w:hAnsi="Times New Roman"/>
          <w:i/>
          <w:iCs/>
          <w:sz w:val="20"/>
          <w:szCs w:val="20"/>
        </w:rPr>
      </w:pPr>
      <m:oMathPara>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TA</m:t>
              </m:r>
            </m:sub>
          </m:sSub>
          <m:r>
            <w:rPr>
              <w:rFonts w:ascii="Cambria Math" w:hAnsi="Cambria Math"/>
              <w:sz w:val="20"/>
              <w:szCs w:val="20"/>
            </w:rPr>
            <m:t>=</m:t>
          </m:r>
          <m:d>
            <m:dPr>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TA</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TA,UE-specific</m:t>
                  </m:r>
                </m:sub>
              </m:sSub>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TA,common</m:t>
                  </m:r>
                </m:sub>
              </m:sSub>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TA,offset</m:t>
                  </m:r>
                </m:sub>
              </m:sSub>
            </m:e>
          </m:d>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c</m:t>
              </m:r>
            </m:sub>
          </m:sSub>
        </m:oMath>
      </m:oMathPara>
    </w:p>
    <w:p w:rsidR="001660D8" w:rsidRDefault="001660D8" w:rsidP="00CA5893">
      <w:pPr>
        <w:spacing w:beforeLines="50" w:before="120" w:afterLines="50" w:after="120" w:line="240" w:lineRule="auto"/>
        <w:ind w:leftChars="400" w:left="880"/>
        <w:jc w:val="both"/>
        <w:rPr>
          <w:rFonts w:ascii="Times New Roman" w:hAnsi="Times New Roman"/>
          <w:i/>
          <w:iCs/>
          <w:sz w:val="20"/>
          <w:szCs w:val="20"/>
          <w:lang w:val="fr-FR"/>
        </w:rPr>
      </w:pPr>
      <w:r>
        <w:rPr>
          <w:rFonts w:ascii="Times New Roman" w:hAnsi="Times New Roman"/>
          <w:i/>
          <w:iCs/>
          <w:sz w:val="20"/>
          <w:szCs w:val="20"/>
        </w:rPr>
        <w:t>Where:</w:t>
      </w:r>
    </w:p>
    <w:p w:rsidR="001660D8" w:rsidRDefault="001D07E2" w:rsidP="00CA5893">
      <w:pPr>
        <w:numPr>
          <w:ilvl w:val="0"/>
          <w:numId w:val="9"/>
        </w:numPr>
        <w:spacing w:after="0" w:line="240" w:lineRule="auto"/>
        <w:ind w:leftChars="391" w:left="1220"/>
        <w:rPr>
          <w:rFonts w:ascii="Times New Roman" w:hAnsi="Times New Roman" w:cs="Times New Roman"/>
          <w:i/>
          <w:iCs/>
          <w:sz w:val="20"/>
          <w:szCs w:val="20"/>
          <w:lang w:eastAsia="ko-KR"/>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001660D8">
        <w:rPr>
          <w:rFonts w:ascii="Times New Roman" w:hAnsi="Times New Roman" w:cs="Times New Roman"/>
          <w:i/>
          <w:iCs/>
          <w:sz w:val="20"/>
          <w:szCs w:val="20"/>
          <w:lang w:eastAsia="ko-KR"/>
        </w:rPr>
        <w:t xml:space="preserve">  is defined as 0 for PRACH and updated based on TA Command field in msg2/msgB and MAC CE TA command. </w:t>
      </w:r>
    </w:p>
    <w:p w:rsidR="001660D8" w:rsidRDefault="001660D8" w:rsidP="00CA5893">
      <w:pPr>
        <w:numPr>
          <w:ilvl w:val="1"/>
          <w:numId w:val="9"/>
        </w:numPr>
        <w:spacing w:after="0" w:line="240" w:lineRule="auto"/>
        <w:ind w:leftChars="718" w:left="1940"/>
        <w:rPr>
          <w:rFonts w:ascii="Times New Roman" w:hAnsi="Times New Roman" w:cs="Times New Roman"/>
          <w:i/>
          <w:iCs/>
          <w:sz w:val="20"/>
          <w:szCs w:val="20"/>
          <w:lang w:eastAsia="ko-KR"/>
        </w:rPr>
      </w:pPr>
      <w:r>
        <w:rPr>
          <w:rFonts w:ascii="Times New Roman" w:hAnsi="Times New Roman" w:cs="Times New Roman"/>
          <w:i/>
          <w:iCs/>
          <w:sz w:val="20"/>
          <w:szCs w:val="20"/>
          <w:lang w:eastAsia="ko-KR"/>
        </w:rPr>
        <w:t>FFS: details of N</w:t>
      </w:r>
      <w:r>
        <w:rPr>
          <w:rFonts w:ascii="Times New Roman" w:hAnsi="Times New Roman" w:cs="Times New Roman"/>
          <w:i/>
          <w:iCs/>
          <w:sz w:val="20"/>
          <w:szCs w:val="20"/>
          <w:vertAlign w:val="subscript"/>
          <w:lang w:eastAsia="ko-KR"/>
        </w:rPr>
        <w:t>TA</w:t>
      </w:r>
      <w:r>
        <w:rPr>
          <w:rFonts w:ascii="Times New Roman" w:hAnsi="Times New Roman" w:cs="Times New Roman"/>
          <w:i/>
          <w:iCs/>
          <w:sz w:val="20"/>
          <w:szCs w:val="20"/>
          <w:lang w:eastAsia="ko-KR"/>
        </w:rPr>
        <w:t> update/accumulation.</w:t>
      </w:r>
    </w:p>
    <w:p w:rsidR="001660D8" w:rsidRDefault="001D07E2" w:rsidP="00CA5893">
      <w:pPr>
        <w:numPr>
          <w:ilvl w:val="0"/>
          <w:numId w:val="9"/>
        </w:numPr>
        <w:spacing w:after="0" w:line="240" w:lineRule="auto"/>
        <w:ind w:leftChars="391" w:left="1220"/>
        <w:rPr>
          <w:rFonts w:ascii="Times New Roman" w:hAnsi="Times New Roman" w:cs="Times New Roman"/>
          <w:i/>
          <w:iCs/>
          <w:sz w:val="20"/>
          <w:szCs w:val="20"/>
          <w:lang w:eastAsia="ko-KR"/>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sidR="001660D8">
        <w:rPr>
          <w:rFonts w:ascii="Times New Roman" w:hAnsi="Times New Roman" w:cs="Times New Roman"/>
          <w:i/>
          <w:iCs/>
          <w:sz w:val="20"/>
          <w:szCs w:val="20"/>
          <w:lang w:eastAsia="ko-KR"/>
        </w:rPr>
        <w:t>  is UE self-estimated TA to pre-compensate for the service link delay.</w:t>
      </w:r>
    </w:p>
    <w:p w:rsidR="001660D8" w:rsidRDefault="001D07E2" w:rsidP="00CA5893">
      <w:pPr>
        <w:numPr>
          <w:ilvl w:val="0"/>
          <w:numId w:val="9"/>
        </w:numPr>
        <w:spacing w:after="0" w:line="240" w:lineRule="auto"/>
        <w:ind w:leftChars="391" w:left="1220"/>
        <w:rPr>
          <w:rFonts w:ascii="Times New Roman" w:hAnsi="Times New Roman" w:cs="Times New Roman"/>
          <w:i/>
          <w:iCs/>
          <w:sz w:val="20"/>
          <w:szCs w:val="20"/>
          <w:lang w:eastAsia="ko-KR"/>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1660D8">
        <w:rPr>
          <w:rFonts w:ascii="Times New Roman" w:hAnsi="Times New Roman" w:cs="Times New Roman"/>
          <w:i/>
          <w:iCs/>
          <w:sz w:val="20"/>
          <w:szCs w:val="20"/>
          <w:lang w:eastAsia="ko-KR"/>
        </w:rPr>
        <w:t> is network-controlled common TA, and may include any timing offset considered necessary by the network.</w:t>
      </w:r>
    </w:p>
    <w:p w:rsidR="001660D8" w:rsidRDefault="001D07E2" w:rsidP="00CA5893">
      <w:pPr>
        <w:numPr>
          <w:ilvl w:val="0"/>
          <w:numId w:val="9"/>
        </w:numPr>
        <w:spacing w:after="0" w:line="240" w:lineRule="auto"/>
        <w:ind w:leftChars="391" w:left="1220"/>
        <w:rPr>
          <w:rFonts w:ascii="Times New Roman" w:hAnsi="Times New Roman" w:cs="Times New Roman"/>
          <w:i/>
          <w:iCs/>
          <w:sz w:val="20"/>
          <w:szCs w:val="20"/>
          <w:lang w:eastAsia="ko-KR"/>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1660D8">
        <w:rPr>
          <w:rFonts w:ascii="Times New Roman" w:hAnsi="Times New Roman" w:cs="Times New Roman"/>
          <w:i/>
          <w:iCs/>
          <w:sz w:val="20"/>
          <w:szCs w:val="20"/>
          <w:lang w:eastAsia="ko-KR"/>
        </w:rPr>
        <w:t xml:space="preserve"> with value of 0 is supported. </w:t>
      </w:r>
    </w:p>
    <w:p w:rsidR="001660D8" w:rsidRDefault="001660D8" w:rsidP="00CA5893">
      <w:pPr>
        <w:numPr>
          <w:ilvl w:val="1"/>
          <w:numId w:val="9"/>
        </w:numPr>
        <w:spacing w:after="0" w:line="240" w:lineRule="auto"/>
        <w:ind w:leftChars="718" w:left="1940"/>
        <w:rPr>
          <w:rFonts w:ascii="Times New Roman" w:hAnsi="Times New Roman" w:cs="Times New Roman"/>
          <w:i/>
          <w:iCs/>
          <w:sz w:val="20"/>
          <w:szCs w:val="20"/>
          <w:lang w:eastAsia="ko-KR"/>
        </w:rPr>
      </w:pPr>
      <w:r>
        <w:rPr>
          <w:rFonts w:ascii="Times New Roman" w:hAnsi="Times New Roman" w:cs="Times New Roman"/>
          <w:i/>
          <w:iCs/>
          <w:sz w:val="20"/>
          <w:szCs w:val="20"/>
          <w:lang w:eastAsia="ko-KR"/>
        </w:rPr>
        <w:t xml:space="preserve">FFS:  details of signaling including granularity.   </w:t>
      </w:r>
    </w:p>
    <w:p w:rsidR="001660D8" w:rsidRDefault="001D07E2" w:rsidP="00CA5893">
      <w:pPr>
        <w:numPr>
          <w:ilvl w:val="0"/>
          <w:numId w:val="9"/>
        </w:numPr>
        <w:spacing w:after="0" w:line="240" w:lineRule="auto"/>
        <w:ind w:leftChars="391" w:left="1220"/>
        <w:rPr>
          <w:rFonts w:ascii="Times New Roman" w:hAnsi="Times New Roman"/>
          <w:i/>
          <w:iCs/>
          <w:sz w:val="20"/>
          <w:szCs w:val="20"/>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sidR="001660D8">
        <w:rPr>
          <w:rFonts w:ascii="Times New Roman" w:hAnsi="Times New Roman" w:cs="Times New Roman"/>
          <w:i/>
          <w:iCs/>
          <w:sz w:val="20"/>
          <w:szCs w:val="20"/>
          <w:lang w:eastAsia="ko-KR"/>
        </w:rPr>
        <w:t> is a fixed offset used to calculate the timing advance. </w:t>
      </w:r>
    </w:p>
    <w:p w:rsidR="001660D8" w:rsidRDefault="001660D8" w:rsidP="00CA5893">
      <w:pPr>
        <w:spacing w:beforeLines="50" w:before="120" w:afterLines="50" w:after="120" w:line="240" w:lineRule="auto"/>
        <w:ind w:leftChars="400" w:left="880"/>
        <w:jc w:val="both"/>
        <w:rPr>
          <w:rFonts w:ascii="Times New Roman" w:hAnsi="Times New Roman"/>
          <w:i/>
          <w:iCs/>
          <w:sz w:val="20"/>
          <w:szCs w:val="20"/>
        </w:rPr>
      </w:pPr>
      <w:r>
        <w:rPr>
          <w:rFonts w:ascii="Times New Roman" w:hAnsi="Times New Roman"/>
          <w:i/>
          <w:iCs/>
          <w:sz w:val="20"/>
          <w:szCs w:val="20"/>
        </w:rPr>
        <w:t>Note-1: Definition of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Pr>
          <w:rFonts w:ascii="Times New Roman" w:hAnsi="Times New Roman"/>
          <w:i/>
          <w:iCs/>
          <w:sz w:val="20"/>
          <w:szCs w:val="20"/>
        </w:rPr>
        <w:t> is different from that in RAN1#103-e agreement. </w:t>
      </w:r>
    </w:p>
    <w:p w:rsidR="001660D8" w:rsidRDefault="001660D8" w:rsidP="00CA5893">
      <w:pPr>
        <w:spacing w:beforeLines="50" w:before="120" w:afterLines="50" w:after="120" w:line="240" w:lineRule="auto"/>
        <w:ind w:leftChars="400" w:left="880"/>
        <w:jc w:val="both"/>
        <w:rPr>
          <w:rFonts w:ascii="Times New Roman" w:hAnsi="Times New Roman"/>
          <w:i/>
          <w:iCs/>
          <w:sz w:val="20"/>
          <w:szCs w:val="20"/>
        </w:rPr>
      </w:pPr>
      <w:r>
        <w:rPr>
          <w:rFonts w:ascii="Times New Roman" w:hAnsi="Times New Roman"/>
          <w:i/>
          <w:iCs/>
          <w:sz w:val="20"/>
          <w:szCs w:val="20"/>
        </w:rPr>
        <w:t>Note-2: UE might not assume that the RTT between UE and gNB is equal to the calculated TA for Msg1/Msg A.</w:t>
      </w:r>
    </w:p>
    <w:p w:rsidR="001660D8" w:rsidRDefault="001660D8" w:rsidP="00CA5893">
      <w:pPr>
        <w:spacing w:beforeLines="50" w:before="120" w:afterLines="50" w:after="120" w:line="240" w:lineRule="auto"/>
        <w:ind w:leftChars="400" w:left="880"/>
        <w:jc w:val="both"/>
        <w:rPr>
          <w:rFonts w:ascii="Times New Roman" w:hAnsi="Times New Roman"/>
          <w:i/>
          <w:iCs/>
          <w:sz w:val="20"/>
          <w:szCs w:val="20"/>
        </w:rPr>
      </w:pPr>
      <w:r>
        <w:rPr>
          <w:rFonts w:ascii="Times New Roman" w:hAnsi="Times New Roman"/>
          <w:i/>
          <w:iCs/>
          <w:sz w:val="20"/>
          <w:szCs w:val="20"/>
        </w:rPr>
        <w:t>Note-3: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Pr>
          <w:rFonts w:ascii="Times New Roman" w:hAnsi="Times New Roman"/>
          <w:i/>
          <w:iCs/>
          <w:sz w:val="20"/>
          <w:szCs w:val="20"/>
        </w:rPr>
        <w:t> is the common timing offset X as agreed in RAN1 #103-e.</w:t>
      </w:r>
    </w:p>
    <w:p w:rsidR="00141498" w:rsidRDefault="00141498" w:rsidP="00CA5893">
      <w:pPr>
        <w:jc w:val="both"/>
        <w:rPr>
          <w:rFonts w:ascii="Times New Roman" w:eastAsia="宋体" w:hAnsi="Times New Roman" w:cs="Times New Roman"/>
          <w:sz w:val="20"/>
          <w:szCs w:val="20"/>
        </w:rPr>
      </w:pPr>
    </w:p>
    <w:tbl>
      <w:tblPr>
        <w:tblStyle w:val="aa"/>
        <w:tblW w:w="0" w:type="auto"/>
        <w:jc w:val="center"/>
        <w:tblLook w:val="04A0" w:firstRow="1" w:lastRow="0" w:firstColumn="1" w:lastColumn="0" w:noHBand="0" w:noVBand="1"/>
      </w:tblPr>
      <w:tblGrid>
        <w:gridCol w:w="4326"/>
        <w:gridCol w:w="4176"/>
      </w:tblGrid>
      <w:tr w:rsidR="00141498" w:rsidTr="00CA5893">
        <w:trPr>
          <w:trHeight w:val="2605"/>
          <w:jc w:val="center"/>
        </w:trPr>
        <w:tc>
          <w:tcPr>
            <w:tcW w:w="3853" w:type="dxa"/>
          </w:tcPr>
          <w:p w:rsidR="00141498" w:rsidRDefault="005C3EEC">
            <w:pPr>
              <w:jc w:val="center"/>
            </w:pPr>
            <w:r>
              <w:rPr>
                <w:noProof/>
              </w:rPr>
              <w:drawing>
                <wp:inline distT="0" distB="0" distL="114300" distR="114300">
                  <wp:extent cx="2598420" cy="2044700"/>
                  <wp:effectExtent l="0" t="0" r="11430" b="12700"/>
                  <wp:docPr id="5"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34"/>
                          <pic:cNvPicPr>
                            <a:picLocks noChangeAspect="1"/>
                          </pic:cNvPicPr>
                        </pic:nvPicPr>
                        <pic:blipFill>
                          <a:blip r:embed="rId9"/>
                          <a:stretch>
                            <a:fillRect/>
                          </a:stretch>
                        </pic:blipFill>
                        <pic:spPr>
                          <a:xfrm>
                            <a:off x="0" y="0"/>
                            <a:ext cx="2598420" cy="2044700"/>
                          </a:xfrm>
                          <a:prstGeom prst="rect">
                            <a:avLst/>
                          </a:prstGeom>
                          <a:noFill/>
                          <a:ln>
                            <a:noFill/>
                          </a:ln>
                        </pic:spPr>
                      </pic:pic>
                    </a:graphicData>
                  </a:graphic>
                </wp:inline>
              </w:drawing>
            </w:r>
          </w:p>
        </w:tc>
        <w:tc>
          <w:tcPr>
            <w:tcW w:w="3705" w:type="dxa"/>
          </w:tcPr>
          <w:p w:rsidR="00141498" w:rsidRDefault="005C3EEC">
            <w:pPr>
              <w:jc w:val="center"/>
            </w:pPr>
            <w:r>
              <w:rPr>
                <w:noProof/>
              </w:rPr>
              <w:drawing>
                <wp:inline distT="0" distB="0" distL="114300" distR="114300">
                  <wp:extent cx="2501265" cy="2030730"/>
                  <wp:effectExtent l="0" t="0" r="13335" b="7620"/>
                  <wp:docPr id="7"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35"/>
                          <pic:cNvPicPr>
                            <a:picLocks noChangeAspect="1"/>
                          </pic:cNvPicPr>
                        </pic:nvPicPr>
                        <pic:blipFill>
                          <a:blip r:embed="rId10"/>
                          <a:stretch>
                            <a:fillRect/>
                          </a:stretch>
                        </pic:blipFill>
                        <pic:spPr>
                          <a:xfrm>
                            <a:off x="0" y="0"/>
                            <a:ext cx="2501265" cy="2030730"/>
                          </a:xfrm>
                          <a:prstGeom prst="rect">
                            <a:avLst/>
                          </a:prstGeom>
                          <a:noFill/>
                          <a:ln>
                            <a:noFill/>
                          </a:ln>
                        </pic:spPr>
                      </pic:pic>
                    </a:graphicData>
                  </a:graphic>
                </wp:inline>
              </w:drawing>
            </w:r>
          </w:p>
        </w:tc>
      </w:tr>
    </w:tbl>
    <w:p w:rsidR="00141498" w:rsidRDefault="005C3EEC">
      <w:pPr>
        <w:pStyle w:val="a3"/>
        <w:spacing w:beforeLines="50" w:before="120" w:afterLines="50"/>
        <w:ind w:leftChars="200" w:left="440"/>
        <w:rPr>
          <w:b w:val="0"/>
          <w:bCs w:val="0"/>
          <w:lang w:val="en-US"/>
        </w:rPr>
      </w:pPr>
      <w:bookmarkStart w:id="3" w:name="_Ref71287759"/>
      <w:r>
        <w:rPr>
          <w:b w:val="0"/>
          <w:bCs w:val="0"/>
        </w:rPr>
        <w:lastRenderedPageBreak/>
        <w:t xml:space="preserve">Figure </w:t>
      </w:r>
      <w:r>
        <w:rPr>
          <w:b w:val="0"/>
          <w:bCs w:val="0"/>
        </w:rPr>
        <w:fldChar w:fldCharType="begin"/>
      </w:r>
      <w:r>
        <w:rPr>
          <w:b w:val="0"/>
          <w:bCs w:val="0"/>
        </w:rPr>
        <w:instrText xml:space="preserve"> SEQ Figure \* ARABIC </w:instrText>
      </w:r>
      <w:r>
        <w:rPr>
          <w:b w:val="0"/>
          <w:bCs w:val="0"/>
        </w:rPr>
        <w:fldChar w:fldCharType="separate"/>
      </w:r>
      <w:r w:rsidR="007C3917">
        <w:rPr>
          <w:b w:val="0"/>
          <w:bCs w:val="0"/>
          <w:noProof/>
        </w:rPr>
        <w:t>1</w:t>
      </w:r>
      <w:r>
        <w:rPr>
          <w:b w:val="0"/>
          <w:bCs w:val="0"/>
        </w:rPr>
        <w:fldChar w:fldCharType="end"/>
      </w:r>
      <w:bookmarkEnd w:id="3"/>
      <w:r>
        <w:rPr>
          <w:rFonts w:hint="eastAsia"/>
          <w:b w:val="0"/>
          <w:bCs w:val="0"/>
          <w:lang w:val="en-US"/>
        </w:rPr>
        <w:t xml:space="preserve"> Performance evaluation of first order approximation for LEO-600 with 1 s indication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296"/>
      </w:tblGrid>
      <w:tr w:rsidR="00141498">
        <w:trPr>
          <w:jc w:val="center"/>
        </w:trPr>
        <w:tc>
          <w:tcPr>
            <w:tcW w:w="4446" w:type="dxa"/>
          </w:tcPr>
          <w:p w:rsidR="00141498" w:rsidRDefault="005C3EEC">
            <w:pPr>
              <w:jc w:val="center"/>
            </w:pPr>
            <w:r>
              <w:rPr>
                <w:noProof/>
              </w:rPr>
              <w:drawing>
                <wp:inline distT="0" distB="0" distL="114300" distR="114300">
                  <wp:extent cx="2735580" cy="2097405"/>
                  <wp:effectExtent l="0" t="0" r="7620" b="17145"/>
                  <wp:docPr id="8"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36"/>
                          <pic:cNvPicPr>
                            <a:picLocks noChangeAspect="1"/>
                          </pic:cNvPicPr>
                        </pic:nvPicPr>
                        <pic:blipFill>
                          <a:blip r:embed="rId11"/>
                          <a:stretch>
                            <a:fillRect/>
                          </a:stretch>
                        </pic:blipFill>
                        <pic:spPr>
                          <a:xfrm>
                            <a:off x="0" y="0"/>
                            <a:ext cx="2735580" cy="2097405"/>
                          </a:xfrm>
                          <a:prstGeom prst="rect">
                            <a:avLst/>
                          </a:prstGeom>
                          <a:noFill/>
                          <a:ln>
                            <a:noFill/>
                          </a:ln>
                        </pic:spPr>
                      </pic:pic>
                    </a:graphicData>
                  </a:graphic>
                </wp:inline>
              </w:drawing>
            </w:r>
          </w:p>
        </w:tc>
        <w:tc>
          <w:tcPr>
            <w:tcW w:w="4275" w:type="dxa"/>
          </w:tcPr>
          <w:p w:rsidR="00141498" w:rsidRDefault="005C3EEC">
            <w:pPr>
              <w:jc w:val="center"/>
            </w:pPr>
            <w:r>
              <w:rPr>
                <w:noProof/>
              </w:rPr>
              <w:drawing>
                <wp:inline distT="0" distB="0" distL="114300" distR="114300">
                  <wp:extent cx="2577465" cy="2090420"/>
                  <wp:effectExtent l="0" t="0" r="13335" b="5080"/>
                  <wp:docPr id="14"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7"/>
                          <pic:cNvPicPr>
                            <a:picLocks noChangeAspect="1"/>
                          </pic:cNvPicPr>
                        </pic:nvPicPr>
                        <pic:blipFill>
                          <a:blip r:embed="rId12"/>
                          <a:stretch>
                            <a:fillRect/>
                          </a:stretch>
                        </pic:blipFill>
                        <pic:spPr>
                          <a:xfrm>
                            <a:off x="0" y="0"/>
                            <a:ext cx="2577465" cy="2090420"/>
                          </a:xfrm>
                          <a:prstGeom prst="rect">
                            <a:avLst/>
                          </a:prstGeom>
                          <a:noFill/>
                          <a:ln>
                            <a:noFill/>
                          </a:ln>
                        </pic:spPr>
                      </pic:pic>
                    </a:graphicData>
                  </a:graphic>
                </wp:inline>
              </w:drawing>
            </w:r>
          </w:p>
        </w:tc>
      </w:tr>
    </w:tbl>
    <w:p w:rsidR="00141498" w:rsidRDefault="005C3EEC">
      <w:pPr>
        <w:pStyle w:val="a3"/>
        <w:spacing w:beforeLines="50" w:before="120" w:afterLines="50"/>
        <w:ind w:leftChars="200" w:left="440"/>
        <w:jc w:val="both"/>
        <w:rPr>
          <w:b w:val="0"/>
          <w:bCs w:val="0"/>
          <w:lang w:val="en-US"/>
        </w:rPr>
      </w:pPr>
      <w:bookmarkStart w:id="4" w:name="_Ref71287767"/>
      <w:r>
        <w:rPr>
          <w:rFonts w:hint="eastAsia"/>
          <w:b w:val="0"/>
          <w:bCs w:val="0"/>
          <w:lang w:val="en-US"/>
        </w:rPr>
        <w:t xml:space="preserve">Figure </w:t>
      </w:r>
      <w:r>
        <w:rPr>
          <w:rFonts w:hint="eastAsia"/>
          <w:b w:val="0"/>
          <w:bCs w:val="0"/>
          <w:lang w:val="en-US"/>
        </w:rPr>
        <w:fldChar w:fldCharType="begin"/>
      </w:r>
      <w:r>
        <w:rPr>
          <w:rFonts w:hint="eastAsia"/>
          <w:b w:val="0"/>
          <w:bCs w:val="0"/>
          <w:lang w:val="en-US"/>
        </w:rPr>
        <w:instrText xml:space="preserve"> SEQ Figure \* ARABIC </w:instrText>
      </w:r>
      <w:r>
        <w:rPr>
          <w:rFonts w:hint="eastAsia"/>
          <w:b w:val="0"/>
          <w:bCs w:val="0"/>
          <w:lang w:val="en-US"/>
        </w:rPr>
        <w:fldChar w:fldCharType="separate"/>
      </w:r>
      <w:r w:rsidR="007C3917">
        <w:rPr>
          <w:b w:val="0"/>
          <w:bCs w:val="0"/>
          <w:noProof/>
          <w:lang w:val="en-US"/>
        </w:rPr>
        <w:t>2</w:t>
      </w:r>
      <w:r>
        <w:rPr>
          <w:rFonts w:hint="eastAsia"/>
          <w:b w:val="0"/>
          <w:bCs w:val="0"/>
          <w:lang w:val="en-US"/>
        </w:rPr>
        <w:fldChar w:fldCharType="end"/>
      </w:r>
      <w:bookmarkEnd w:id="4"/>
      <w:r>
        <w:rPr>
          <w:rFonts w:hint="eastAsia"/>
          <w:b w:val="0"/>
          <w:bCs w:val="0"/>
          <w:lang w:val="en-US"/>
        </w:rPr>
        <w:t xml:space="preserve"> Performance evaluation of first order approximation for LEO-600 with 0.5 s indication period</w:t>
      </w:r>
    </w:p>
    <w:p w:rsidR="00FF2D2E" w:rsidRDefault="00FF2D2E" w:rsidP="00CA5893">
      <w:pPr>
        <w:pStyle w:val="ad"/>
        <w:spacing w:beforeLines="100" w:before="240" w:afterLines="50" w:after="120" w:line="240" w:lineRule="auto"/>
        <w:ind w:left="839" w:firstLineChars="0" w:firstLine="0"/>
        <w:jc w:val="both"/>
      </w:pPr>
      <w:r w:rsidRPr="00E30AB1">
        <w:rPr>
          <w:rFonts w:ascii="Times New Roman" w:eastAsia="宋体" w:hAnsi="Times New Roman" w:cs="Times New Roman"/>
          <w:sz w:val="20"/>
          <w:szCs w:val="20"/>
        </w:rPr>
        <w:t>It can be found that the indication of common TA value is already supported.</w:t>
      </w:r>
      <w:r>
        <w:rPr>
          <w:rFonts w:ascii="Times New Roman" w:hAnsi="Times New Roman" w:hint="eastAsia"/>
          <w:sz w:val="20"/>
          <w:szCs w:val="20"/>
        </w:rPr>
        <w:t xml:space="preserve"> However,</w:t>
      </w:r>
      <w:r>
        <w:rPr>
          <w:rFonts w:ascii="Times New Roman" w:eastAsia="宋体" w:hAnsi="Times New Roman" w:cs="Times New Roman" w:hint="eastAsia"/>
          <w:sz w:val="20"/>
          <w:szCs w:val="20"/>
        </w:rPr>
        <w:t xml:space="preserve"> i</w:t>
      </w:r>
      <w:r>
        <w:rPr>
          <w:rFonts w:ascii="Times New Roman" w:eastAsia="宋体" w:hAnsi="Times New Roman" w:cs="Times New Roman"/>
          <w:sz w:val="20"/>
          <w:szCs w:val="20"/>
          <w:lang w:val="en-GB"/>
        </w:rPr>
        <w:t xml:space="preserve">n LEO cases, the variation of propagation timing for feeder link will lead to time-variant </w:t>
      </w:r>
      <w:r>
        <w:rPr>
          <w:rFonts w:ascii="Times New Roman" w:eastAsia="宋体" w:hAnsi="Times New Roman" w:cs="Times New Roman" w:hint="eastAsia"/>
          <w:sz w:val="20"/>
          <w:szCs w:val="20"/>
        </w:rPr>
        <w:t xml:space="preserve">common </w:t>
      </w:r>
      <w:r>
        <w:rPr>
          <w:rFonts w:ascii="Times New Roman" w:eastAsia="宋体" w:hAnsi="Times New Roman" w:cs="Times New Roman"/>
          <w:sz w:val="20"/>
          <w:szCs w:val="20"/>
          <w:lang w:val="en-GB"/>
        </w:rPr>
        <w:t>TA</w:t>
      </w:r>
      <w:r>
        <w:rPr>
          <w:rFonts w:ascii="Times New Roman" w:eastAsia="宋体" w:hAnsi="Times New Roman" w:cs="Times New Roman" w:hint="eastAsia"/>
          <w:sz w:val="20"/>
          <w:szCs w:val="20"/>
        </w:rPr>
        <w:t xml:space="preserve"> and the common TA drift rate can be up to 45.4 us/s for GW at 10 degree elevation angle</w:t>
      </w:r>
      <w:r>
        <w:rPr>
          <w:rFonts w:ascii="Times New Roman" w:eastAsia="宋体" w:hAnsi="Times New Roman" w:cs="Times New Roman"/>
          <w:sz w:val="20"/>
          <w:szCs w:val="20"/>
          <w:lang w:val="en-GB"/>
        </w:rPr>
        <w:t>.</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lang w:val="en-GB"/>
        </w:rPr>
        <w:t xml:space="preserve">In this case, according to analysis in </w:t>
      </w:r>
      <w:r>
        <w:rPr>
          <w:rFonts w:ascii="Times New Roman" w:eastAsia="宋体" w:hAnsi="Times New Roman" w:cs="Times New Roman"/>
          <w:sz w:val="20"/>
          <w:szCs w:val="20"/>
          <w:lang w:val="en-GB"/>
        </w:rPr>
        <w:fldChar w:fldCharType="begin"/>
      </w:r>
      <w:r>
        <w:rPr>
          <w:rFonts w:ascii="Times New Roman" w:eastAsia="宋体" w:hAnsi="Times New Roman" w:cs="Times New Roman"/>
          <w:sz w:val="20"/>
          <w:szCs w:val="20"/>
          <w:lang w:val="en-GB"/>
        </w:rPr>
        <w:instrText xml:space="preserve"> REF _Ref71549026 \r \h </w:instrText>
      </w:r>
      <w:r>
        <w:rPr>
          <w:rFonts w:ascii="Times New Roman" w:eastAsia="宋体" w:hAnsi="Times New Roman" w:cs="Times New Roman"/>
          <w:sz w:val="20"/>
          <w:szCs w:val="20"/>
          <w:lang w:val="en-GB"/>
        </w:rPr>
      </w:r>
      <w:r>
        <w:rPr>
          <w:rFonts w:ascii="Times New Roman" w:eastAsia="宋体" w:hAnsi="Times New Roman" w:cs="Times New Roman"/>
          <w:sz w:val="20"/>
          <w:szCs w:val="20"/>
          <w:lang w:val="en-GB"/>
        </w:rPr>
        <w:fldChar w:fldCharType="separate"/>
      </w:r>
      <w:r w:rsidR="007C3917">
        <w:rPr>
          <w:rFonts w:ascii="Times New Roman" w:eastAsia="宋体" w:hAnsi="Times New Roman" w:cs="Times New Roman"/>
          <w:sz w:val="20"/>
          <w:szCs w:val="20"/>
          <w:lang w:val="en-GB"/>
        </w:rPr>
        <w:t>[3]</w:t>
      </w:r>
      <w:r>
        <w:rPr>
          <w:rFonts w:ascii="Times New Roman" w:eastAsia="宋体" w:hAnsi="Times New Roman" w:cs="Times New Roman"/>
          <w:sz w:val="20"/>
          <w:szCs w:val="20"/>
          <w:lang w:val="en-GB"/>
        </w:rPr>
        <w:fldChar w:fldCharType="end"/>
      </w:r>
      <w:r>
        <w:rPr>
          <w:rFonts w:ascii="Times New Roman" w:eastAsia="宋体" w:hAnsi="Times New Roman" w:cs="Times New Roman"/>
          <w:sz w:val="20"/>
          <w:szCs w:val="20"/>
          <w:lang w:val="en-GB"/>
        </w:rPr>
        <w:t xml:space="preserve">, additional information, e.g., TA drift rate should be also indicated to enable the UE to handle this time-variant behaviour. </w:t>
      </w:r>
      <w:r w:rsidRPr="00E30AB1">
        <w:rPr>
          <w:rFonts w:ascii="Times New Roman" w:hAnsi="Times New Roman"/>
          <w:sz w:val="20"/>
          <w:szCs w:val="20"/>
        </w:rPr>
        <w:t xml:space="preserve">Furthermore, </w:t>
      </w:r>
      <w:r>
        <w:rPr>
          <w:rFonts w:ascii="Times New Roman" w:hAnsi="Times New Roman"/>
          <w:sz w:val="20"/>
          <w:szCs w:val="20"/>
        </w:rPr>
        <w:t>if</w:t>
      </w:r>
      <w:r w:rsidRPr="00E30AB1">
        <w:rPr>
          <w:rFonts w:ascii="Times New Roman" w:hAnsi="Times New Roman" w:hint="eastAsia"/>
          <w:sz w:val="20"/>
          <w:szCs w:val="20"/>
        </w:rPr>
        <w:t xml:space="preserve"> only first order drift rate is indicated, the performance evaluations of autonomous common TA estimation by UE for LEO-600 are sho</w:t>
      </w:r>
      <w:r w:rsidRPr="00E30AB1">
        <w:rPr>
          <w:rFonts w:ascii="Times New Roman" w:hAnsi="Times New Roman"/>
          <w:sz w:val="20"/>
          <w:szCs w:val="20"/>
        </w:rPr>
        <w:t xml:space="preserve">wn in </w:t>
      </w:r>
      <w:r w:rsidRPr="00E30AB1">
        <w:rPr>
          <w:rFonts w:ascii="Times New Roman" w:hAnsi="Times New Roman"/>
          <w:sz w:val="20"/>
          <w:szCs w:val="20"/>
        </w:rPr>
        <w:fldChar w:fldCharType="begin"/>
      </w:r>
      <w:r w:rsidRPr="00E30AB1">
        <w:rPr>
          <w:rFonts w:ascii="Times New Roman" w:hAnsi="Times New Roman"/>
          <w:sz w:val="20"/>
          <w:szCs w:val="20"/>
        </w:rPr>
        <w:instrText xml:space="preserve"> REF _Ref71287759 \h  \* MERGEFORMAT </w:instrText>
      </w:r>
      <w:r w:rsidRPr="00E30AB1">
        <w:rPr>
          <w:rFonts w:ascii="Times New Roman" w:hAnsi="Times New Roman"/>
          <w:sz w:val="20"/>
          <w:szCs w:val="20"/>
        </w:rPr>
      </w:r>
      <w:r w:rsidRPr="00E30AB1">
        <w:rPr>
          <w:rFonts w:ascii="Times New Roman" w:hAnsi="Times New Roman"/>
          <w:sz w:val="20"/>
          <w:szCs w:val="20"/>
        </w:rPr>
        <w:fldChar w:fldCharType="separate"/>
      </w:r>
      <w:r w:rsidR="007C3917" w:rsidRPr="00CA5893">
        <w:rPr>
          <w:rFonts w:ascii="Times New Roman" w:hAnsi="Times New Roman"/>
          <w:sz w:val="20"/>
          <w:szCs w:val="20"/>
        </w:rPr>
        <w:t>Figure 1</w:t>
      </w:r>
      <w:r w:rsidRPr="00E30AB1">
        <w:rPr>
          <w:rFonts w:ascii="Times New Roman" w:hAnsi="Times New Roman"/>
          <w:sz w:val="20"/>
          <w:szCs w:val="20"/>
        </w:rPr>
        <w:fldChar w:fldCharType="end"/>
      </w:r>
      <w:r w:rsidRPr="00E30AB1">
        <w:rPr>
          <w:rFonts w:ascii="Times New Roman" w:hAnsi="Times New Roman"/>
          <w:sz w:val="20"/>
          <w:szCs w:val="20"/>
        </w:rPr>
        <w:t xml:space="preserve"> and </w:t>
      </w:r>
      <w:r w:rsidRPr="00E30AB1">
        <w:rPr>
          <w:rFonts w:ascii="Times New Roman" w:hAnsi="Times New Roman"/>
          <w:sz w:val="20"/>
          <w:szCs w:val="20"/>
        </w:rPr>
        <w:fldChar w:fldCharType="begin"/>
      </w:r>
      <w:r w:rsidRPr="00E30AB1">
        <w:rPr>
          <w:rFonts w:ascii="Times New Roman" w:hAnsi="Times New Roman"/>
          <w:sz w:val="20"/>
          <w:szCs w:val="20"/>
        </w:rPr>
        <w:instrText xml:space="preserve"> REF _Ref71287767 \h  \* MERGEFORMAT </w:instrText>
      </w:r>
      <w:r w:rsidRPr="00E30AB1">
        <w:rPr>
          <w:rFonts w:ascii="Times New Roman" w:hAnsi="Times New Roman"/>
          <w:sz w:val="20"/>
          <w:szCs w:val="20"/>
        </w:rPr>
      </w:r>
      <w:r w:rsidRPr="00E30AB1">
        <w:rPr>
          <w:rFonts w:ascii="Times New Roman" w:hAnsi="Times New Roman"/>
          <w:sz w:val="20"/>
          <w:szCs w:val="20"/>
        </w:rPr>
        <w:fldChar w:fldCharType="separate"/>
      </w:r>
      <w:r w:rsidR="007C3917" w:rsidRPr="00CA5893">
        <w:rPr>
          <w:rFonts w:ascii="Times New Roman" w:hAnsi="Times New Roman"/>
          <w:sz w:val="20"/>
          <w:szCs w:val="20"/>
        </w:rPr>
        <w:t>Figure 2</w:t>
      </w:r>
      <w:r w:rsidRPr="00E30AB1">
        <w:rPr>
          <w:rFonts w:ascii="Times New Roman" w:hAnsi="Times New Roman"/>
          <w:sz w:val="20"/>
          <w:szCs w:val="20"/>
        </w:rPr>
        <w:fldChar w:fldCharType="end"/>
      </w:r>
      <w:r w:rsidRPr="00E30AB1">
        <w:rPr>
          <w:rFonts w:ascii="Times New Roman" w:hAnsi="Times New Roman"/>
          <w:sz w:val="20"/>
          <w:szCs w:val="20"/>
        </w:rPr>
        <w:t xml:space="preserve">. It can be observed that if the tolerance range of TA error is CP/2, the parameters for common TA should be indicated per 1 s and it will be much shorter (i.e., 0.5s) once the error bound is set as Te. </w:t>
      </w:r>
    </w:p>
    <w:p w:rsidR="004F30B1" w:rsidRDefault="004F30B1" w:rsidP="00CA5893">
      <w:pPr>
        <w:pStyle w:val="ad"/>
        <w:spacing w:beforeLines="100" w:before="240" w:afterLines="50" w:after="120" w:line="240" w:lineRule="auto"/>
        <w:ind w:left="839" w:firstLineChars="0" w:firstLine="0"/>
        <w:jc w:val="both"/>
        <w:rPr>
          <w:rFonts w:ascii="Times New Roman" w:eastAsia="宋体" w:hAnsi="Times New Roman" w:cs="Times New Roman"/>
          <w:sz w:val="20"/>
          <w:szCs w:val="20"/>
        </w:rPr>
      </w:pPr>
      <w:r w:rsidRPr="00CA5893">
        <w:rPr>
          <w:rFonts w:ascii="Times New Roman" w:eastAsia="宋体" w:hAnsi="Times New Roman" w:cs="Times New Roman"/>
          <w:sz w:val="20"/>
          <w:szCs w:val="20"/>
        </w:rPr>
        <w:t xml:space="preserve">When both first and second order drift rates are indicated, the performance evaluations of autonomous common TA estimation by UE for LEO-600 are improved as shown in </w:t>
      </w:r>
      <w:r w:rsidRPr="00CA5893">
        <w:rPr>
          <w:rFonts w:ascii="Times New Roman" w:eastAsia="宋体" w:hAnsi="Times New Roman" w:cs="Times New Roman"/>
          <w:sz w:val="20"/>
          <w:szCs w:val="20"/>
        </w:rPr>
        <w:fldChar w:fldCharType="begin"/>
      </w:r>
      <w:r w:rsidRPr="00CA5893">
        <w:rPr>
          <w:rFonts w:ascii="Times New Roman" w:eastAsia="宋体" w:hAnsi="Times New Roman" w:cs="Times New Roman"/>
          <w:sz w:val="20"/>
          <w:szCs w:val="20"/>
        </w:rPr>
        <w:instrText xml:space="preserve"> REF _Ref71287774 \h  \* MERGEFORMAT </w:instrText>
      </w:r>
      <w:r w:rsidRPr="00CA5893">
        <w:rPr>
          <w:rFonts w:ascii="Times New Roman" w:eastAsia="宋体" w:hAnsi="Times New Roman" w:cs="Times New Roman"/>
          <w:sz w:val="20"/>
          <w:szCs w:val="20"/>
        </w:rPr>
      </w:r>
      <w:r w:rsidRPr="00CA5893">
        <w:rPr>
          <w:rFonts w:ascii="Times New Roman" w:eastAsia="宋体" w:hAnsi="Times New Roman" w:cs="Times New Roman"/>
          <w:sz w:val="20"/>
          <w:szCs w:val="20"/>
        </w:rPr>
        <w:fldChar w:fldCharType="separate"/>
      </w:r>
      <w:r w:rsidR="007C3917" w:rsidRPr="00CA5893">
        <w:rPr>
          <w:rFonts w:ascii="Times New Roman" w:eastAsia="宋体" w:hAnsi="Times New Roman" w:cs="Times New Roman"/>
          <w:sz w:val="20"/>
          <w:szCs w:val="20"/>
        </w:rPr>
        <w:t>Figure 3</w:t>
      </w:r>
      <w:r w:rsidRPr="00CA5893">
        <w:rPr>
          <w:rFonts w:ascii="Times New Roman" w:eastAsia="宋体" w:hAnsi="Times New Roman" w:cs="Times New Roman"/>
          <w:sz w:val="20"/>
          <w:szCs w:val="20"/>
        </w:rPr>
        <w:fldChar w:fldCharType="end"/>
      </w:r>
      <w:r w:rsidRPr="00CA5893">
        <w:rPr>
          <w:rFonts w:ascii="Times New Roman" w:eastAsia="宋体" w:hAnsi="Times New Roman" w:cs="Times New Roman"/>
          <w:sz w:val="20"/>
          <w:szCs w:val="20"/>
        </w:rPr>
        <w:t xml:space="preserve"> and </w:t>
      </w:r>
      <w:r w:rsidRPr="00CA5893">
        <w:rPr>
          <w:rFonts w:ascii="Times New Roman" w:eastAsia="宋体" w:hAnsi="Times New Roman" w:cs="Times New Roman"/>
          <w:sz w:val="20"/>
          <w:szCs w:val="20"/>
        </w:rPr>
        <w:fldChar w:fldCharType="begin"/>
      </w:r>
      <w:r w:rsidRPr="00CA5893">
        <w:rPr>
          <w:rFonts w:ascii="Times New Roman" w:eastAsia="宋体" w:hAnsi="Times New Roman" w:cs="Times New Roman"/>
          <w:sz w:val="20"/>
          <w:szCs w:val="20"/>
        </w:rPr>
        <w:instrText xml:space="preserve"> REF _Ref71287781 \h  \* MERGEFORMAT </w:instrText>
      </w:r>
      <w:r w:rsidRPr="00CA5893">
        <w:rPr>
          <w:rFonts w:ascii="Times New Roman" w:eastAsia="宋体" w:hAnsi="Times New Roman" w:cs="Times New Roman"/>
          <w:sz w:val="20"/>
          <w:szCs w:val="20"/>
        </w:rPr>
      </w:r>
      <w:r w:rsidRPr="00CA5893">
        <w:rPr>
          <w:rFonts w:ascii="Times New Roman" w:eastAsia="宋体" w:hAnsi="Times New Roman" w:cs="Times New Roman"/>
          <w:sz w:val="20"/>
          <w:szCs w:val="20"/>
        </w:rPr>
        <w:fldChar w:fldCharType="separate"/>
      </w:r>
      <w:r w:rsidR="007C3917" w:rsidRPr="00CA5893">
        <w:rPr>
          <w:rFonts w:ascii="Times New Roman" w:eastAsia="宋体" w:hAnsi="Times New Roman" w:cs="Times New Roman"/>
          <w:sz w:val="20"/>
          <w:szCs w:val="20"/>
        </w:rPr>
        <w:t>Figure 4</w:t>
      </w:r>
      <w:r w:rsidRPr="00CA5893">
        <w:rPr>
          <w:rFonts w:ascii="Times New Roman" w:eastAsia="宋体" w:hAnsi="Times New Roman" w:cs="Times New Roman"/>
          <w:sz w:val="20"/>
          <w:szCs w:val="20"/>
        </w:rPr>
        <w:fldChar w:fldCharType="end"/>
      </w:r>
      <w:r w:rsidRPr="00CA5893">
        <w:rPr>
          <w:rFonts w:ascii="Times New Roman" w:eastAsia="宋体" w:hAnsi="Times New Roman" w:cs="Times New Roman"/>
          <w:sz w:val="20"/>
          <w:szCs w:val="20"/>
        </w:rPr>
        <w:t>. In this case, the required periodicity for indication will be 6 s and 4 s for the case with tolerance range as CP/2 and Te, respectively. Therefore, it is preferred that first and second order common TA drift are broadcast along with common TA with a period of 4 s. Moreover, as other options, similar performance can be achieved if multiple sets of common TA with drift rate are indicated by assuming different applicable time instant or valid 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6"/>
        <w:gridCol w:w="4275"/>
      </w:tblGrid>
      <w:tr w:rsidR="00141498">
        <w:trPr>
          <w:jc w:val="center"/>
        </w:trPr>
        <w:tc>
          <w:tcPr>
            <w:tcW w:w="4446" w:type="dxa"/>
          </w:tcPr>
          <w:p w:rsidR="00141498" w:rsidRDefault="005C3EEC">
            <w:pPr>
              <w:jc w:val="center"/>
            </w:pPr>
            <w:r>
              <w:rPr>
                <w:noProof/>
              </w:rPr>
              <w:drawing>
                <wp:inline distT="0" distB="0" distL="114300" distR="114300">
                  <wp:extent cx="2482215" cy="1939925"/>
                  <wp:effectExtent l="0" t="0" r="13335" b="3175"/>
                  <wp:docPr id="12"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40"/>
                          <pic:cNvPicPr>
                            <a:picLocks noChangeAspect="1"/>
                          </pic:cNvPicPr>
                        </pic:nvPicPr>
                        <pic:blipFill>
                          <a:blip r:embed="rId13"/>
                          <a:stretch>
                            <a:fillRect/>
                          </a:stretch>
                        </pic:blipFill>
                        <pic:spPr>
                          <a:xfrm>
                            <a:off x="0" y="0"/>
                            <a:ext cx="2482215" cy="1939925"/>
                          </a:xfrm>
                          <a:prstGeom prst="rect">
                            <a:avLst/>
                          </a:prstGeom>
                          <a:noFill/>
                          <a:ln>
                            <a:noFill/>
                          </a:ln>
                        </pic:spPr>
                      </pic:pic>
                    </a:graphicData>
                  </a:graphic>
                </wp:inline>
              </w:drawing>
            </w:r>
          </w:p>
        </w:tc>
        <w:tc>
          <w:tcPr>
            <w:tcW w:w="4275" w:type="dxa"/>
          </w:tcPr>
          <w:p w:rsidR="00141498" w:rsidRDefault="005C3EEC">
            <w:pPr>
              <w:jc w:val="center"/>
            </w:pPr>
            <w:r>
              <w:rPr>
                <w:noProof/>
              </w:rPr>
              <w:drawing>
                <wp:inline distT="0" distB="0" distL="114300" distR="114300">
                  <wp:extent cx="2430780" cy="1946910"/>
                  <wp:effectExtent l="0" t="0" r="7620" b="15240"/>
                  <wp:docPr id="13"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41"/>
                          <pic:cNvPicPr>
                            <a:picLocks noChangeAspect="1"/>
                          </pic:cNvPicPr>
                        </pic:nvPicPr>
                        <pic:blipFill>
                          <a:blip r:embed="rId14"/>
                          <a:stretch>
                            <a:fillRect/>
                          </a:stretch>
                        </pic:blipFill>
                        <pic:spPr>
                          <a:xfrm>
                            <a:off x="0" y="0"/>
                            <a:ext cx="2430780" cy="1946910"/>
                          </a:xfrm>
                          <a:prstGeom prst="rect">
                            <a:avLst/>
                          </a:prstGeom>
                          <a:noFill/>
                          <a:ln>
                            <a:noFill/>
                          </a:ln>
                        </pic:spPr>
                      </pic:pic>
                    </a:graphicData>
                  </a:graphic>
                </wp:inline>
              </w:drawing>
            </w:r>
          </w:p>
        </w:tc>
      </w:tr>
    </w:tbl>
    <w:p w:rsidR="00141498" w:rsidRDefault="005C3EEC">
      <w:pPr>
        <w:pStyle w:val="a3"/>
        <w:spacing w:beforeLines="50" w:before="120" w:afterLines="50"/>
        <w:ind w:leftChars="200" w:left="440"/>
        <w:rPr>
          <w:lang w:val="en-US"/>
        </w:rPr>
      </w:pPr>
      <w:bookmarkStart w:id="5" w:name="_Ref71287774"/>
      <w:r>
        <w:rPr>
          <w:rFonts w:hint="eastAsia"/>
          <w:b w:val="0"/>
          <w:bCs w:val="0"/>
          <w:lang w:val="en-US"/>
        </w:rPr>
        <w:t xml:space="preserve">Figure </w:t>
      </w:r>
      <w:r>
        <w:rPr>
          <w:rFonts w:hint="eastAsia"/>
          <w:b w:val="0"/>
          <w:bCs w:val="0"/>
          <w:lang w:val="en-US"/>
        </w:rPr>
        <w:fldChar w:fldCharType="begin"/>
      </w:r>
      <w:r>
        <w:rPr>
          <w:rFonts w:hint="eastAsia"/>
          <w:b w:val="0"/>
          <w:bCs w:val="0"/>
          <w:lang w:val="en-US"/>
        </w:rPr>
        <w:instrText xml:space="preserve"> SEQ Figure \* ARABIC </w:instrText>
      </w:r>
      <w:r>
        <w:rPr>
          <w:rFonts w:hint="eastAsia"/>
          <w:b w:val="0"/>
          <w:bCs w:val="0"/>
          <w:lang w:val="en-US"/>
        </w:rPr>
        <w:fldChar w:fldCharType="separate"/>
      </w:r>
      <w:r w:rsidR="007C3917">
        <w:rPr>
          <w:b w:val="0"/>
          <w:bCs w:val="0"/>
          <w:noProof/>
          <w:lang w:val="en-US"/>
        </w:rPr>
        <w:t>3</w:t>
      </w:r>
      <w:r>
        <w:rPr>
          <w:rFonts w:hint="eastAsia"/>
          <w:b w:val="0"/>
          <w:bCs w:val="0"/>
          <w:lang w:val="en-US"/>
        </w:rPr>
        <w:fldChar w:fldCharType="end"/>
      </w:r>
      <w:bookmarkEnd w:id="5"/>
      <w:r>
        <w:rPr>
          <w:rFonts w:hint="eastAsia"/>
          <w:b w:val="0"/>
          <w:bCs w:val="0"/>
          <w:lang w:val="en-US"/>
        </w:rPr>
        <w:t xml:space="preserve"> Performance evaluation of second order approximation for LEO-600 with 6 s indication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6"/>
        <w:gridCol w:w="4275"/>
      </w:tblGrid>
      <w:tr w:rsidR="00141498">
        <w:trPr>
          <w:jc w:val="center"/>
        </w:trPr>
        <w:tc>
          <w:tcPr>
            <w:tcW w:w="4446" w:type="dxa"/>
          </w:tcPr>
          <w:p w:rsidR="00141498" w:rsidRDefault="005C3EEC">
            <w:pPr>
              <w:jc w:val="center"/>
            </w:pPr>
            <w:r>
              <w:rPr>
                <w:noProof/>
              </w:rPr>
              <w:lastRenderedPageBreak/>
              <w:drawing>
                <wp:inline distT="0" distB="0" distL="114300" distR="114300">
                  <wp:extent cx="2489835" cy="1978660"/>
                  <wp:effectExtent l="0" t="0" r="5715" b="2540"/>
                  <wp:docPr id="15"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38"/>
                          <pic:cNvPicPr>
                            <a:picLocks noChangeAspect="1"/>
                          </pic:cNvPicPr>
                        </pic:nvPicPr>
                        <pic:blipFill>
                          <a:blip r:embed="rId15"/>
                          <a:stretch>
                            <a:fillRect/>
                          </a:stretch>
                        </pic:blipFill>
                        <pic:spPr>
                          <a:xfrm>
                            <a:off x="0" y="0"/>
                            <a:ext cx="2489835" cy="1978660"/>
                          </a:xfrm>
                          <a:prstGeom prst="rect">
                            <a:avLst/>
                          </a:prstGeom>
                          <a:noFill/>
                          <a:ln>
                            <a:noFill/>
                          </a:ln>
                        </pic:spPr>
                      </pic:pic>
                    </a:graphicData>
                  </a:graphic>
                </wp:inline>
              </w:drawing>
            </w:r>
          </w:p>
        </w:tc>
        <w:tc>
          <w:tcPr>
            <w:tcW w:w="4275" w:type="dxa"/>
          </w:tcPr>
          <w:p w:rsidR="00141498" w:rsidRDefault="005C3EEC">
            <w:pPr>
              <w:jc w:val="center"/>
            </w:pPr>
            <w:r>
              <w:rPr>
                <w:noProof/>
              </w:rPr>
              <w:drawing>
                <wp:inline distT="0" distB="0" distL="114300" distR="114300">
                  <wp:extent cx="2444750" cy="1971675"/>
                  <wp:effectExtent l="0" t="0" r="12700" b="9525"/>
                  <wp:docPr id="11"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39"/>
                          <pic:cNvPicPr>
                            <a:picLocks noChangeAspect="1"/>
                          </pic:cNvPicPr>
                        </pic:nvPicPr>
                        <pic:blipFill>
                          <a:blip r:embed="rId16"/>
                          <a:stretch>
                            <a:fillRect/>
                          </a:stretch>
                        </pic:blipFill>
                        <pic:spPr>
                          <a:xfrm>
                            <a:off x="0" y="0"/>
                            <a:ext cx="2444750" cy="1971675"/>
                          </a:xfrm>
                          <a:prstGeom prst="rect">
                            <a:avLst/>
                          </a:prstGeom>
                          <a:noFill/>
                          <a:ln>
                            <a:noFill/>
                          </a:ln>
                        </pic:spPr>
                      </pic:pic>
                    </a:graphicData>
                  </a:graphic>
                </wp:inline>
              </w:drawing>
            </w:r>
          </w:p>
        </w:tc>
      </w:tr>
    </w:tbl>
    <w:p w:rsidR="00141498" w:rsidRDefault="005C3EEC">
      <w:pPr>
        <w:pStyle w:val="a3"/>
        <w:spacing w:beforeLines="50" w:before="120" w:afterLines="50"/>
        <w:ind w:leftChars="200" w:left="440"/>
        <w:rPr>
          <w:b w:val="0"/>
          <w:bCs w:val="0"/>
          <w:lang w:val="en-US"/>
        </w:rPr>
      </w:pPr>
      <w:bookmarkStart w:id="6" w:name="_Ref71287781"/>
      <w:r>
        <w:rPr>
          <w:rFonts w:hint="eastAsia"/>
          <w:b w:val="0"/>
          <w:bCs w:val="0"/>
          <w:lang w:val="en-US"/>
        </w:rPr>
        <w:t xml:space="preserve">Figure </w:t>
      </w:r>
      <w:r>
        <w:rPr>
          <w:rFonts w:hint="eastAsia"/>
          <w:b w:val="0"/>
          <w:bCs w:val="0"/>
          <w:lang w:val="en-US"/>
        </w:rPr>
        <w:fldChar w:fldCharType="begin"/>
      </w:r>
      <w:r>
        <w:rPr>
          <w:rFonts w:hint="eastAsia"/>
          <w:b w:val="0"/>
          <w:bCs w:val="0"/>
          <w:lang w:val="en-US"/>
        </w:rPr>
        <w:instrText xml:space="preserve"> SEQ Figure \* ARABIC </w:instrText>
      </w:r>
      <w:r>
        <w:rPr>
          <w:rFonts w:hint="eastAsia"/>
          <w:b w:val="0"/>
          <w:bCs w:val="0"/>
          <w:lang w:val="en-US"/>
        </w:rPr>
        <w:fldChar w:fldCharType="separate"/>
      </w:r>
      <w:r w:rsidR="007C3917">
        <w:rPr>
          <w:b w:val="0"/>
          <w:bCs w:val="0"/>
          <w:noProof/>
          <w:lang w:val="en-US"/>
        </w:rPr>
        <w:t>4</w:t>
      </w:r>
      <w:r>
        <w:rPr>
          <w:rFonts w:hint="eastAsia"/>
          <w:b w:val="0"/>
          <w:bCs w:val="0"/>
          <w:lang w:val="en-US"/>
        </w:rPr>
        <w:fldChar w:fldCharType="end"/>
      </w:r>
      <w:bookmarkEnd w:id="6"/>
      <w:r>
        <w:rPr>
          <w:rFonts w:hint="eastAsia"/>
          <w:b w:val="0"/>
          <w:bCs w:val="0"/>
          <w:lang w:val="en-US"/>
        </w:rPr>
        <w:t xml:space="preserve"> Performance evaluation of second order approximation for LEO-600 with 4 s indication period</w:t>
      </w:r>
    </w:p>
    <w:p w:rsidR="00345078" w:rsidRDefault="001A4762" w:rsidP="00345078">
      <w:pPr>
        <w:ind w:leftChars="200" w:left="440"/>
      </w:pPr>
      <w:r>
        <w:rPr>
          <w:rFonts w:ascii="Times New Roman" w:eastAsia="宋体" w:hAnsi="Times New Roman" w:cs="Times New Roman"/>
          <w:sz w:val="20"/>
          <w:szCs w:val="20"/>
        </w:rPr>
        <w:t xml:space="preserve">Moreover, to ensure the accuracy for UE’s implementation on the pre-compensation, along with the aforementioned value for indication, corresponding valid time duration should also be delivered to UE. Otherwise, errors will occur once the </w:t>
      </w:r>
      <w:r w:rsidR="00A4577C">
        <w:rPr>
          <w:rFonts w:ascii="Times New Roman" w:eastAsia="宋体" w:hAnsi="Times New Roman" w:cs="Times New Roman"/>
          <w:sz w:val="20"/>
          <w:szCs w:val="20"/>
        </w:rPr>
        <w:t>un</w:t>
      </w:r>
      <w:r>
        <w:rPr>
          <w:rFonts w:ascii="Times New Roman" w:eastAsia="宋体" w:hAnsi="Times New Roman" w:cs="Times New Roman"/>
          <w:sz w:val="20"/>
          <w:szCs w:val="20"/>
        </w:rPr>
        <w:t>matched information is used.</w:t>
      </w:r>
      <w:r w:rsidR="00345078">
        <w:rPr>
          <w:rFonts w:ascii="Times New Roman" w:eastAsia="宋体" w:hAnsi="Times New Roman" w:cs="Times New Roman"/>
          <w:sz w:val="20"/>
          <w:szCs w:val="20"/>
        </w:rPr>
        <w:t xml:space="preserve"> </w:t>
      </w:r>
      <w:r w:rsidR="00345078">
        <w:rPr>
          <w:rFonts w:ascii="Times New Roman" w:eastAsia="宋体" w:hAnsi="Times New Roman" w:cs="Times New Roman"/>
          <w:sz w:val="20"/>
          <w:szCs w:val="20"/>
        </w:rPr>
        <w:t>From above results, it can be observed that the broadcast period can be long</w:t>
      </w:r>
      <w:r w:rsidR="00345078">
        <w:rPr>
          <w:rFonts w:ascii="Times New Roman" w:eastAsia="宋体" w:hAnsi="Times New Roman" w:cs="Times New Roman" w:hint="eastAsia"/>
          <w:sz w:val="20"/>
          <w:szCs w:val="20"/>
        </w:rPr>
        <w:t>er with indication of higher order drift rates due to n</w:t>
      </w:r>
      <w:r w:rsidR="00345078">
        <w:rPr>
          <w:rFonts w:ascii="Times New Roman" w:eastAsia="宋体" w:hAnsi="Times New Roman" w:cs="Times New Roman"/>
          <w:sz w:val="20"/>
          <w:szCs w:val="20"/>
        </w:rPr>
        <w:t>onlinearity</w:t>
      </w:r>
      <w:r w:rsidR="00345078">
        <w:rPr>
          <w:rFonts w:ascii="Times New Roman" w:eastAsia="宋体" w:hAnsi="Times New Roman" w:cs="Times New Roman" w:hint="eastAsia"/>
          <w:sz w:val="20"/>
          <w:szCs w:val="20"/>
        </w:rPr>
        <w:t xml:space="preserve"> of</w:t>
      </w:r>
      <w:r w:rsidR="00345078">
        <w:rPr>
          <w:rFonts w:ascii="Times New Roman" w:eastAsia="宋体" w:hAnsi="Times New Roman" w:cs="Times New Roman"/>
          <w:sz w:val="20"/>
          <w:szCs w:val="20"/>
        </w:rPr>
        <w:t xml:space="preserve"> </w:t>
      </w:r>
      <w:r w:rsidR="00345078">
        <w:rPr>
          <w:rFonts w:ascii="Times New Roman" w:eastAsia="宋体" w:hAnsi="Times New Roman" w:cs="Times New Roman" w:hint="eastAsia"/>
          <w:sz w:val="20"/>
          <w:szCs w:val="20"/>
        </w:rPr>
        <w:t>common TA variation</w:t>
      </w:r>
      <w:r w:rsidR="00345078">
        <w:rPr>
          <w:rFonts w:ascii="Times New Roman" w:eastAsia="宋体" w:hAnsi="Times New Roman" w:cs="Times New Roman"/>
          <w:sz w:val="20"/>
          <w:szCs w:val="20"/>
        </w:rPr>
        <w:t xml:space="preserve"> with high predictability. In this situation, as other options, similar performance can be achieved if multiple sets of common TA with drift rate are indicated by assuming different applicable time instant or valid time and further enlarged periodicity can be ensured by even with higher order.</w:t>
      </w:r>
    </w:p>
    <w:p w:rsidR="00513789" w:rsidRPr="00CA5893" w:rsidRDefault="00BC5640" w:rsidP="009A0E1A">
      <w:pPr>
        <w:ind w:leftChars="200" w:left="440"/>
        <w:jc w:val="both"/>
        <w:rPr>
          <w:rFonts w:ascii="Times New Roman" w:eastAsia="宋体" w:hAnsi="Times New Roman"/>
          <w:sz w:val="20"/>
          <w:szCs w:val="20"/>
        </w:rPr>
      </w:pPr>
      <w:r>
        <w:rPr>
          <w:rFonts w:ascii="Times New Roman" w:eastAsia="宋体" w:hAnsi="Times New Roman" w:cs="Times New Roman" w:hint="eastAsia"/>
          <w:sz w:val="20"/>
          <w:szCs w:val="20"/>
        </w:rPr>
        <w:t>T</w:t>
      </w:r>
      <w:r>
        <w:rPr>
          <w:rFonts w:ascii="Times New Roman" w:eastAsia="宋体" w:hAnsi="Times New Roman" w:cs="Times New Roman"/>
          <w:sz w:val="20"/>
          <w:szCs w:val="20"/>
        </w:rPr>
        <w:t>hen, w.r.t the 1</w:t>
      </w:r>
      <w:r w:rsidRPr="00CA5893">
        <w:rPr>
          <w:rFonts w:ascii="Times New Roman" w:eastAsia="宋体" w:hAnsi="Times New Roman" w:cs="Times New Roman"/>
          <w:sz w:val="20"/>
          <w:szCs w:val="20"/>
          <w:vertAlign w:val="superscript"/>
        </w:rPr>
        <w:t>st</w:t>
      </w:r>
      <w:r>
        <w:rPr>
          <w:rFonts w:ascii="Times New Roman" w:eastAsia="宋体" w:hAnsi="Times New Roman" w:cs="Times New Roman"/>
          <w:sz w:val="20"/>
          <w:szCs w:val="20"/>
        </w:rPr>
        <w:t xml:space="preserve"> question from RAN2’s LS,</w:t>
      </w:r>
      <w:r w:rsidR="006B3157">
        <w:rPr>
          <w:rFonts w:ascii="Times New Roman" w:eastAsia="宋体" w:hAnsi="Times New Roman" w:cs="Times New Roman"/>
          <w:sz w:val="20"/>
          <w:szCs w:val="20"/>
        </w:rPr>
        <w:t xml:space="preserve"> </w:t>
      </w:r>
      <w:r w:rsidR="009A0E1A">
        <w:rPr>
          <w:rFonts w:ascii="Times New Roman" w:eastAsia="宋体" w:hAnsi="Times New Roman" w:cs="Times New Roman"/>
          <w:sz w:val="20"/>
          <w:szCs w:val="20"/>
        </w:rPr>
        <w:t>f</w:t>
      </w:r>
      <w:r w:rsidR="00513789" w:rsidRPr="00CA5893">
        <w:rPr>
          <w:rFonts w:ascii="Times New Roman" w:eastAsia="宋体" w:hAnsi="Times New Roman"/>
          <w:bCs/>
          <w:sz w:val="20"/>
          <w:szCs w:val="20"/>
        </w:rPr>
        <w:t>rom RAN1’s perspective, the ephemeris (at least in PV format) and common TA</w:t>
      </w:r>
      <w:r w:rsidR="00A4577C" w:rsidRPr="00CA5893">
        <w:rPr>
          <w:rFonts w:ascii="Times New Roman" w:eastAsia="宋体" w:hAnsi="Times New Roman"/>
          <w:bCs/>
          <w:sz w:val="20"/>
          <w:szCs w:val="20"/>
        </w:rPr>
        <w:t xml:space="preserve"> including drifts should be indicated to UE along with corresponding valid time for each parameters. And the exemplified periodicity can be:</w:t>
      </w:r>
    </w:p>
    <w:p w:rsidR="002E7A21" w:rsidRPr="002E7A21" w:rsidRDefault="00513789" w:rsidP="00513789">
      <w:pPr>
        <w:pStyle w:val="ad"/>
        <w:numPr>
          <w:ilvl w:val="0"/>
          <w:numId w:val="8"/>
        </w:numPr>
        <w:spacing w:beforeLines="50" w:before="120" w:after="0" w:line="240" w:lineRule="auto"/>
        <w:ind w:firstLineChars="0"/>
        <w:jc w:val="both"/>
        <w:rPr>
          <w:rFonts w:ascii="Times New Roman" w:eastAsia="宋体" w:hAnsi="Times New Roman" w:cs="Times New Roman"/>
          <w:sz w:val="20"/>
          <w:szCs w:val="20"/>
        </w:rPr>
      </w:pPr>
      <w:r w:rsidRPr="002E7A21">
        <w:rPr>
          <w:rFonts w:ascii="Times New Roman" w:eastAsia="宋体" w:hAnsi="Times New Roman"/>
          <w:bCs/>
          <w:sz w:val="20"/>
          <w:szCs w:val="20"/>
        </w:rPr>
        <w:t xml:space="preserve">Ephemeris data broadcast with a </w:t>
      </w:r>
      <w:r w:rsidR="002E7A21" w:rsidRPr="002E7A21">
        <w:rPr>
          <w:rFonts w:ascii="Times New Roman" w:eastAsia="宋体" w:hAnsi="Times New Roman"/>
          <w:bCs/>
          <w:sz w:val="20"/>
          <w:szCs w:val="20"/>
        </w:rPr>
        <w:t xml:space="preserve">the upper bound of periodicity </w:t>
      </w:r>
      <w:r w:rsidR="002E7A21" w:rsidRPr="002E7A21">
        <w:rPr>
          <w:rFonts w:ascii="Times New Roman" w:eastAsia="宋体" w:hAnsi="Times New Roman" w:cs="Times New Roman"/>
          <w:sz w:val="20"/>
          <w:szCs w:val="20"/>
        </w:rPr>
        <w:t>less than 60s or 30s based on the defined TA error range from RAN4 (e.g., CP/2 and Te), respectively</w:t>
      </w:r>
    </w:p>
    <w:p w:rsidR="00513789" w:rsidRPr="00CA5893" w:rsidRDefault="00513789" w:rsidP="00513789">
      <w:pPr>
        <w:pStyle w:val="ad"/>
        <w:numPr>
          <w:ilvl w:val="0"/>
          <w:numId w:val="8"/>
        </w:numPr>
        <w:spacing w:beforeLines="50" w:before="120" w:after="0" w:line="240" w:lineRule="auto"/>
        <w:ind w:firstLineChars="0"/>
        <w:jc w:val="both"/>
        <w:rPr>
          <w:rFonts w:ascii="Times New Roman" w:eastAsia="宋体" w:hAnsi="Times New Roman" w:cs="Times New Roman"/>
          <w:b/>
          <w:sz w:val="20"/>
          <w:szCs w:val="20"/>
        </w:rPr>
      </w:pPr>
      <w:r w:rsidRPr="00CA5893">
        <w:rPr>
          <w:rFonts w:ascii="Times New Roman" w:eastAsia="宋体" w:hAnsi="Times New Roman"/>
          <w:bCs/>
          <w:sz w:val="20"/>
          <w:szCs w:val="20"/>
        </w:rPr>
        <w:t xml:space="preserve">Common TA broadcast with a </w:t>
      </w:r>
      <w:r w:rsidR="00AC3A96">
        <w:rPr>
          <w:rFonts w:ascii="Times New Roman" w:eastAsia="宋体" w:hAnsi="Times New Roman"/>
          <w:bCs/>
          <w:sz w:val="20"/>
          <w:szCs w:val="20"/>
        </w:rPr>
        <w:t xml:space="preserve">lower bound of periodicity as </w:t>
      </w:r>
      <w:r w:rsidRPr="00CA5893">
        <w:rPr>
          <w:rFonts w:ascii="Times New Roman" w:eastAsia="宋体" w:hAnsi="Times New Roman"/>
          <w:bCs/>
          <w:sz w:val="20"/>
          <w:szCs w:val="20"/>
        </w:rPr>
        <w:t xml:space="preserve">4 s with either </w:t>
      </w:r>
      <w:r w:rsidR="00C739A1">
        <w:rPr>
          <w:rFonts w:ascii="Times New Roman" w:eastAsia="宋体" w:hAnsi="Times New Roman"/>
          <w:bCs/>
          <w:sz w:val="20"/>
          <w:szCs w:val="20"/>
        </w:rPr>
        <w:t xml:space="preserve">one </w:t>
      </w:r>
      <w:r w:rsidRPr="00CA5893">
        <w:rPr>
          <w:rFonts w:ascii="Times New Roman" w:eastAsia="宋体" w:hAnsi="Times New Roman"/>
          <w:bCs/>
          <w:sz w:val="20"/>
          <w:szCs w:val="20"/>
        </w:rPr>
        <w:t>of following conditions</w:t>
      </w:r>
      <w:r w:rsidR="00C739A1">
        <w:rPr>
          <w:rFonts w:ascii="Times New Roman" w:eastAsia="宋体" w:hAnsi="Times New Roman"/>
          <w:bCs/>
          <w:sz w:val="20"/>
          <w:szCs w:val="20"/>
        </w:rPr>
        <w:t xml:space="preserve"> for single indication</w:t>
      </w:r>
      <w:r w:rsidRPr="00CA5893">
        <w:rPr>
          <w:rFonts w:ascii="Times New Roman" w:eastAsia="宋体" w:hAnsi="Times New Roman"/>
          <w:bCs/>
          <w:sz w:val="20"/>
          <w:szCs w:val="20"/>
        </w:rPr>
        <w:t>:</w:t>
      </w:r>
    </w:p>
    <w:p w:rsidR="00513789" w:rsidRPr="00CA5893" w:rsidRDefault="006060F9" w:rsidP="00513789">
      <w:pPr>
        <w:numPr>
          <w:ilvl w:val="1"/>
          <w:numId w:val="9"/>
        </w:numPr>
        <w:spacing w:beforeLines="50" w:before="120" w:afterLines="50" w:after="120" w:line="240" w:lineRule="auto"/>
        <w:rPr>
          <w:rFonts w:ascii="Times New Roman" w:hAnsi="Times New Roman" w:cs="Times New Roman"/>
          <w:iCs/>
          <w:sz w:val="20"/>
          <w:szCs w:val="20"/>
        </w:rPr>
      </w:pPr>
      <w:r>
        <w:rPr>
          <w:rFonts w:ascii="Times New Roman" w:hAnsi="Times New Roman" w:cs="Times New Roman"/>
          <w:iCs/>
          <w:sz w:val="20"/>
          <w:szCs w:val="20"/>
        </w:rPr>
        <w:t>Both f</w:t>
      </w:r>
      <w:r w:rsidR="00513789" w:rsidRPr="00CA5893">
        <w:rPr>
          <w:rFonts w:ascii="Times New Roman" w:hAnsi="Times New Roman" w:cs="Times New Roman"/>
          <w:iCs/>
          <w:sz w:val="20"/>
          <w:szCs w:val="20"/>
        </w:rPr>
        <w:t>irst and second order common TA drift rates are broadcast along with common TA</w:t>
      </w:r>
    </w:p>
    <w:p w:rsidR="00513789" w:rsidRPr="00CA5893" w:rsidRDefault="00C739A1" w:rsidP="00513789">
      <w:pPr>
        <w:numPr>
          <w:ilvl w:val="1"/>
          <w:numId w:val="9"/>
        </w:numPr>
        <w:spacing w:beforeLines="50" w:before="120" w:afterLines="50" w:after="120" w:line="240" w:lineRule="auto"/>
        <w:rPr>
          <w:rFonts w:ascii="Times New Roman" w:hAnsi="Times New Roman" w:cs="Times New Roman"/>
          <w:iCs/>
          <w:sz w:val="20"/>
          <w:szCs w:val="20"/>
        </w:rPr>
      </w:pPr>
      <w:r>
        <w:rPr>
          <w:rFonts w:ascii="Times New Roman" w:hAnsi="Times New Roman" w:cs="Times New Roman"/>
          <w:iCs/>
          <w:sz w:val="20"/>
          <w:szCs w:val="20"/>
        </w:rPr>
        <w:t>M</w:t>
      </w:r>
      <w:r w:rsidR="00513789" w:rsidRPr="00CA5893">
        <w:rPr>
          <w:rFonts w:ascii="Times New Roman" w:hAnsi="Times New Roman" w:cs="Times New Roman"/>
          <w:iCs/>
          <w:sz w:val="20"/>
          <w:szCs w:val="20"/>
        </w:rPr>
        <w:t xml:space="preserve">ultiple sets of common TA with drift rate </w:t>
      </w:r>
      <w:r w:rsidR="00C77F08">
        <w:rPr>
          <w:rFonts w:ascii="Times New Roman" w:hAnsi="Times New Roman" w:cs="Times New Roman"/>
          <w:iCs/>
          <w:sz w:val="20"/>
          <w:szCs w:val="20"/>
        </w:rPr>
        <w:t xml:space="preserve">by </w:t>
      </w:r>
      <w:r w:rsidR="00513789" w:rsidRPr="00CA5893">
        <w:rPr>
          <w:rFonts w:ascii="Times New Roman" w:hAnsi="Times New Roman" w:cs="Times New Roman"/>
          <w:iCs/>
          <w:sz w:val="20"/>
          <w:szCs w:val="20"/>
        </w:rPr>
        <w:t>different applicable time instant or valid time are indicated together</w:t>
      </w:r>
      <w:r w:rsidR="00F91C19">
        <w:rPr>
          <w:rFonts w:ascii="Times New Roman" w:hAnsi="Times New Roman" w:cs="Times New Roman"/>
          <w:iCs/>
          <w:sz w:val="20"/>
          <w:szCs w:val="20"/>
        </w:rPr>
        <w:t xml:space="preserve"> to further enlarge the periodicity</w:t>
      </w:r>
    </w:p>
    <w:p w:rsidR="00141498" w:rsidRDefault="005C3EEC" w:rsidP="00CA5893">
      <w:pPr>
        <w:spacing w:beforeLines="100" w:before="240"/>
        <w:ind w:leftChars="200" w:left="440"/>
        <w:jc w:val="both"/>
        <w:rPr>
          <w:rFonts w:ascii="Times New Roman" w:eastAsia="宋体" w:hAnsi="Times New Roman"/>
          <w:i/>
          <w:sz w:val="20"/>
          <w:szCs w:val="20"/>
        </w:rPr>
      </w:pPr>
      <w:r>
        <w:rPr>
          <w:rFonts w:ascii="Times New Roman" w:eastAsia="宋体" w:hAnsi="Times New Roman"/>
          <w:b/>
          <w:i/>
          <w:sz w:val="20"/>
          <w:szCs w:val="20"/>
        </w:rPr>
        <w:t xml:space="preserve">Proposal </w:t>
      </w:r>
      <w:r>
        <w:rPr>
          <w:rFonts w:ascii="Times New Roman" w:eastAsia="宋体" w:hAnsi="Times New Roman" w:hint="eastAsia"/>
          <w:b/>
          <w:i/>
          <w:sz w:val="20"/>
          <w:szCs w:val="20"/>
        </w:rPr>
        <w:t>1</w:t>
      </w:r>
      <w:r>
        <w:rPr>
          <w:rFonts w:ascii="Times New Roman" w:eastAsia="宋体" w:hAnsi="Times New Roman"/>
          <w:b/>
          <w:i/>
          <w:sz w:val="20"/>
          <w:szCs w:val="20"/>
        </w:rPr>
        <w:t xml:space="preserve">: </w:t>
      </w:r>
      <w:r w:rsidR="00380AE0">
        <w:rPr>
          <w:rFonts w:ascii="Times New Roman" w:eastAsia="宋体" w:hAnsi="Times New Roman"/>
          <w:bCs/>
          <w:i/>
          <w:sz w:val="20"/>
          <w:szCs w:val="20"/>
        </w:rPr>
        <w:t>Capturing following information in the reply LS to RAN2</w:t>
      </w:r>
      <w:r w:rsidR="00D62014">
        <w:rPr>
          <w:rFonts w:ascii="Times New Roman" w:eastAsia="宋体" w:hAnsi="Times New Roman"/>
          <w:bCs/>
          <w:i/>
          <w:sz w:val="20"/>
          <w:szCs w:val="20"/>
        </w:rPr>
        <w:t xml:space="preserve"> w.r.t Q1</w:t>
      </w:r>
      <w:r w:rsidR="00380AE0">
        <w:rPr>
          <w:rFonts w:ascii="Times New Roman" w:eastAsia="宋体" w:hAnsi="Times New Roman"/>
          <w:bCs/>
          <w:i/>
          <w:sz w:val="20"/>
          <w:szCs w:val="20"/>
        </w:rPr>
        <w:t>:</w:t>
      </w:r>
    </w:p>
    <w:p w:rsidR="00380AE0" w:rsidRDefault="00380AE0" w:rsidP="00380AE0">
      <w:pPr>
        <w:ind w:leftChars="200" w:left="440"/>
        <w:jc w:val="both"/>
        <w:rPr>
          <w:rFonts w:ascii="Times New Roman" w:eastAsia="宋体" w:hAnsi="Times New Roman"/>
          <w:i/>
          <w:sz w:val="20"/>
          <w:szCs w:val="20"/>
        </w:rPr>
      </w:pPr>
      <w:r>
        <w:rPr>
          <w:rFonts w:ascii="Times New Roman" w:eastAsia="宋体" w:hAnsi="Times New Roman"/>
          <w:bCs/>
          <w:i/>
          <w:sz w:val="20"/>
          <w:szCs w:val="20"/>
        </w:rPr>
        <w:t>From RAN1’s perspective, the e</w:t>
      </w:r>
      <w:r>
        <w:rPr>
          <w:rFonts w:ascii="Times New Roman" w:eastAsia="宋体" w:hAnsi="Times New Roman" w:hint="eastAsia"/>
          <w:bCs/>
          <w:i/>
          <w:sz w:val="20"/>
          <w:szCs w:val="20"/>
        </w:rPr>
        <w:t>phemeris</w:t>
      </w:r>
      <w:r>
        <w:rPr>
          <w:rFonts w:ascii="Times New Roman" w:eastAsia="宋体" w:hAnsi="Times New Roman"/>
          <w:bCs/>
          <w:i/>
          <w:sz w:val="20"/>
          <w:szCs w:val="20"/>
        </w:rPr>
        <w:t xml:space="preserve"> (at least in PV format)</w:t>
      </w:r>
      <w:r>
        <w:rPr>
          <w:rFonts w:ascii="Times New Roman" w:eastAsia="宋体" w:hAnsi="Times New Roman" w:hint="eastAsia"/>
          <w:bCs/>
          <w:i/>
          <w:sz w:val="20"/>
          <w:szCs w:val="20"/>
        </w:rPr>
        <w:t xml:space="preserve"> and common TA</w:t>
      </w:r>
      <w:r>
        <w:rPr>
          <w:rFonts w:ascii="Times New Roman" w:eastAsia="宋体" w:hAnsi="Times New Roman"/>
          <w:bCs/>
          <w:i/>
          <w:sz w:val="20"/>
          <w:szCs w:val="20"/>
        </w:rPr>
        <w:t xml:space="preserve"> including drift</w:t>
      </w:r>
      <w:r w:rsidR="001E275B">
        <w:rPr>
          <w:rFonts w:ascii="Times New Roman" w:eastAsia="宋体" w:hAnsi="Times New Roman"/>
          <w:bCs/>
          <w:i/>
          <w:sz w:val="20"/>
          <w:szCs w:val="20"/>
        </w:rPr>
        <w:t xml:space="preserve"> rate</w:t>
      </w:r>
      <w:r>
        <w:rPr>
          <w:rFonts w:ascii="Times New Roman" w:eastAsia="宋体" w:hAnsi="Times New Roman"/>
          <w:bCs/>
          <w:i/>
          <w:sz w:val="20"/>
          <w:szCs w:val="20"/>
        </w:rPr>
        <w:t>s should be indicated to UE along with corresponding valid time for each parameters. And the exemplified periodicity can be:</w:t>
      </w:r>
    </w:p>
    <w:p w:rsidR="00C739A1" w:rsidRPr="00C739A1" w:rsidRDefault="00C739A1" w:rsidP="00C739A1">
      <w:pPr>
        <w:pStyle w:val="ad"/>
        <w:numPr>
          <w:ilvl w:val="0"/>
          <w:numId w:val="8"/>
        </w:numPr>
        <w:spacing w:beforeLines="50" w:before="120" w:after="0" w:line="240" w:lineRule="auto"/>
        <w:ind w:firstLineChars="0"/>
        <w:jc w:val="both"/>
        <w:rPr>
          <w:rFonts w:ascii="Times New Roman" w:eastAsia="宋体" w:hAnsi="Times New Roman" w:cs="Times New Roman"/>
          <w:i/>
          <w:sz w:val="20"/>
          <w:szCs w:val="20"/>
        </w:rPr>
      </w:pPr>
      <w:r w:rsidRPr="00C739A1">
        <w:rPr>
          <w:rFonts w:ascii="Times New Roman" w:eastAsia="宋体" w:hAnsi="Times New Roman"/>
          <w:bCs/>
          <w:i/>
          <w:sz w:val="20"/>
          <w:szCs w:val="20"/>
        </w:rPr>
        <w:t xml:space="preserve">Ephemeris data broadcast with a the upper bound of periodicity </w:t>
      </w:r>
      <w:r w:rsidRPr="00C739A1">
        <w:rPr>
          <w:rFonts w:ascii="Times New Roman" w:eastAsia="宋体" w:hAnsi="Times New Roman" w:cs="Times New Roman"/>
          <w:i/>
          <w:sz w:val="20"/>
          <w:szCs w:val="20"/>
        </w:rPr>
        <w:t>less than 60s or 30s based on the defined TA error range from RAN4 (e.g., CP/2 and Te), respectively</w:t>
      </w:r>
    </w:p>
    <w:p w:rsidR="00C739A1" w:rsidRPr="00C739A1" w:rsidRDefault="00C739A1" w:rsidP="00C739A1">
      <w:pPr>
        <w:pStyle w:val="ad"/>
        <w:numPr>
          <w:ilvl w:val="0"/>
          <w:numId w:val="8"/>
        </w:numPr>
        <w:spacing w:beforeLines="50" w:before="120" w:after="0" w:line="240" w:lineRule="auto"/>
        <w:ind w:firstLineChars="0"/>
        <w:jc w:val="both"/>
        <w:rPr>
          <w:rFonts w:ascii="Times New Roman" w:eastAsia="宋体" w:hAnsi="Times New Roman" w:cs="Times New Roman"/>
          <w:b/>
          <w:i/>
          <w:sz w:val="20"/>
          <w:szCs w:val="20"/>
        </w:rPr>
      </w:pPr>
      <w:r w:rsidRPr="00C739A1">
        <w:rPr>
          <w:rFonts w:ascii="Times New Roman" w:eastAsia="宋体" w:hAnsi="Times New Roman"/>
          <w:bCs/>
          <w:i/>
          <w:sz w:val="20"/>
          <w:szCs w:val="20"/>
        </w:rPr>
        <w:t>Common TA broadcast with a lower bound of periodicity as 4 s with either one of following conditions for single indication:</w:t>
      </w:r>
    </w:p>
    <w:p w:rsidR="00C739A1" w:rsidRPr="00C739A1" w:rsidRDefault="00C739A1" w:rsidP="00C739A1">
      <w:pPr>
        <w:numPr>
          <w:ilvl w:val="1"/>
          <w:numId w:val="9"/>
        </w:numPr>
        <w:spacing w:beforeLines="50" w:before="120" w:afterLines="50" w:after="120" w:line="240" w:lineRule="auto"/>
        <w:rPr>
          <w:rFonts w:ascii="Times New Roman" w:hAnsi="Times New Roman" w:cs="Times New Roman"/>
          <w:i/>
          <w:iCs/>
          <w:sz w:val="20"/>
          <w:szCs w:val="20"/>
        </w:rPr>
      </w:pPr>
      <w:r w:rsidRPr="00C739A1">
        <w:rPr>
          <w:rFonts w:ascii="Times New Roman" w:hAnsi="Times New Roman" w:cs="Times New Roman"/>
          <w:i/>
          <w:iCs/>
          <w:sz w:val="20"/>
          <w:szCs w:val="20"/>
        </w:rPr>
        <w:t>Both first and second order common TA drift rates are broadcast along with common TA</w:t>
      </w:r>
    </w:p>
    <w:p w:rsidR="00C739A1" w:rsidRPr="00C739A1" w:rsidRDefault="00C739A1" w:rsidP="00C739A1">
      <w:pPr>
        <w:numPr>
          <w:ilvl w:val="1"/>
          <w:numId w:val="9"/>
        </w:numPr>
        <w:spacing w:beforeLines="50" w:before="120" w:afterLines="50" w:after="120" w:line="240" w:lineRule="auto"/>
        <w:rPr>
          <w:rFonts w:ascii="Times New Roman" w:hAnsi="Times New Roman" w:cs="Times New Roman"/>
          <w:i/>
          <w:iCs/>
          <w:sz w:val="20"/>
          <w:szCs w:val="20"/>
        </w:rPr>
      </w:pPr>
      <w:r w:rsidRPr="00C739A1">
        <w:rPr>
          <w:rFonts w:ascii="Times New Roman" w:hAnsi="Times New Roman" w:cs="Times New Roman"/>
          <w:i/>
          <w:iCs/>
          <w:sz w:val="20"/>
          <w:szCs w:val="20"/>
        </w:rPr>
        <w:t>Multiple sets of common TA with drift rate by different applicable time instant or valid time are indicated together to further enlarge the periodicity</w:t>
      </w:r>
    </w:p>
    <w:p w:rsidR="00141498" w:rsidRPr="00CA5893" w:rsidRDefault="00BC7EBB" w:rsidP="00CA5893">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 xml:space="preserve">Determination of </w:t>
      </w:r>
      <w:r w:rsidR="005C3EEC" w:rsidRPr="00CA5893">
        <w:rPr>
          <w:rFonts w:eastAsia="黑体" w:cs="Times New Roman"/>
          <w:b/>
          <w:bCs/>
          <w:sz w:val="28"/>
          <w:szCs w:val="30"/>
          <w:lang w:val="en-US"/>
        </w:rPr>
        <w:t>UE-gNB RTT</w:t>
      </w:r>
    </w:p>
    <w:p w:rsidR="00531951" w:rsidRDefault="00634BD9">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 xml:space="preserve">W.r.t the </w:t>
      </w:r>
      <w:r w:rsidR="005C3EEC">
        <w:rPr>
          <w:rFonts w:ascii="Times New Roman" w:eastAsia="宋体" w:hAnsi="Times New Roman" w:cs="Times New Roman" w:hint="eastAsia"/>
          <w:sz w:val="20"/>
          <w:szCs w:val="20"/>
        </w:rPr>
        <w:t xml:space="preserve">second question from RAN2 </w:t>
      </w:r>
      <w:r>
        <w:rPr>
          <w:rFonts w:ascii="Times New Roman" w:eastAsia="宋体" w:hAnsi="Times New Roman" w:cs="Times New Roman"/>
          <w:sz w:val="20"/>
          <w:szCs w:val="20"/>
        </w:rPr>
        <w:t xml:space="preserve">on </w:t>
      </w:r>
      <w:r w:rsidR="005C3EEC">
        <w:rPr>
          <w:rFonts w:ascii="Times New Roman" w:eastAsia="宋体" w:hAnsi="Times New Roman" w:cs="Times New Roman" w:hint="eastAsia"/>
          <w:sz w:val="20"/>
          <w:szCs w:val="20"/>
        </w:rPr>
        <w:t>how UE determines UE-gNB RTT and if there is any additional parameter other than that for TA pre-compensation to broadcast</w:t>
      </w:r>
      <w:r w:rsidR="00531951">
        <w:rPr>
          <w:rFonts w:ascii="Times New Roman" w:eastAsia="宋体" w:hAnsi="Times New Roman" w:cs="Times New Roman"/>
          <w:sz w:val="20"/>
          <w:szCs w:val="20"/>
        </w:rPr>
        <w:t xml:space="preserve">, from RAN1’s prospective, such mechanism is not yet processed. </w:t>
      </w:r>
    </w:p>
    <w:p w:rsidR="00EF3544" w:rsidRDefault="00531951" w:rsidP="00EF3544">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However, </w:t>
      </w:r>
      <w:r w:rsidR="00EF3544">
        <w:rPr>
          <w:rFonts w:ascii="Times New Roman" w:eastAsia="宋体" w:hAnsi="Times New Roman" w:cs="Times New Roman"/>
          <w:sz w:val="20"/>
          <w:szCs w:val="20"/>
        </w:rPr>
        <w:t>a</w:t>
      </w:r>
      <w:r w:rsidR="005C3EEC">
        <w:rPr>
          <w:rFonts w:ascii="Times New Roman" w:eastAsia="宋体" w:hAnsi="Times New Roman" w:cs="Times New Roman" w:hint="eastAsia"/>
          <w:sz w:val="20"/>
          <w:szCs w:val="20"/>
        </w:rPr>
        <w:t xml:space="preserve">s described in RAN2 LS </w:t>
      </w:r>
      <w:r w:rsidR="005C3EEC">
        <w:rPr>
          <w:rFonts w:ascii="Times New Roman" w:eastAsia="宋体" w:hAnsi="Times New Roman" w:cs="Times New Roman" w:hint="eastAsia"/>
          <w:sz w:val="20"/>
          <w:szCs w:val="20"/>
        </w:rPr>
        <w:fldChar w:fldCharType="begin"/>
      </w:r>
      <w:r w:rsidR="005C3EEC">
        <w:rPr>
          <w:rFonts w:ascii="Times New Roman" w:eastAsia="宋体" w:hAnsi="Times New Roman" w:cs="Times New Roman" w:hint="eastAsia"/>
          <w:sz w:val="20"/>
          <w:szCs w:val="20"/>
        </w:rPr>
        <w:instrText xml:space="preserve"> REF _Ref8445 \n \h </w:instrText>
      </w:r>
      <w:r w:rsidR="005C3EEC">
        <w:rPr>
          <w:rFonts w:ascii="Times New Roman" w:eastAsia="宋体" w:hAnsi="Times New Roman" w:cs="Times New Roman" w:hint="eastAsia"/>
          <w:sz w:val="20"/>
          <w:szCs w:val="20"/>
        </w:rPr>
      </w:r>
      <w:r w:rsidR="005C3EEC">
        <w:rPr>
          <w:rFonts w:ascii="Times New Roman" w:eastAsia="宋体" w:hAnsi="Times New Roman" w:cs="Times New Roman" w:hint="eastAsia"/>
          <w:sz w:val="20"/>
          <w:szCs w:val="20"/>
        </w:rPr>
        <w:fldChar w:fldCharType="separate"/>
      </w:r>
      <w:r w:rsidR="007C3917">
        <w:rPr>
          <w:rFonts w:ascii="Times New Roman" w:eastAsia="宋体" w:hAnsi="Times New Roman" w:cs="Times New Roman"/>
          <w:sz w:val="20"/>
          <w:szCs w:val="20"/>
        </w:rPr>
        <w:t>[1]</w:t>
      </w:r>
      <w:r w:rsidR="005C3EEC">
        <w:rPr>
          <w:rFonts w:ascii="Times New Roman" w:eastAsia="宋体" w:hAnsi="Times New Roman" w:cs="Times New Roman" w:hint="eastAsia"/>
          <w:sz w:val="20"/>
          <w:szCs w:val="20"/>
        </w:rPr>
        <w:fldChar w:fldCharType="end"/>
      </w:r>
      <w:r w:rsidR="005C3EEC">
        <w:rPr>
          <w:rFonts w:ascii="Times New Roman" w:eastAsia="宋体" w:hAnsi="Times New Roman" w:cs="Times New Roman" w:hint="eastAsia"/>
          <w:sz w:val="20"/>
          <w:szCs w:val="20"/>
        </w:rPr>
        <w:t>, UE-gNB RTT is mainly used as the offset to start one UP timer (drx-HARQ-RTT-TimerDL for the HARQ processes with HARQ feedback enabled),</w:t>
      </w:r>
      <w:r w:rsidR="00EF3544">
        <w:rPr>
          <w:rFonts w:ascii="Times New Roman" w:eastAsia="宋体" w:hAnsi="Times New Roman" w:cs="Times New Roman"/>
          <w:sz w:val="20"/>
          <w:szCs w:val="20"/>
        </w:rPr>
        <w:t xml:space="preserve"> with same purpose to </w:t>
      </w:r>
      <w:r w:rsidR="00EF3544">
        <w:rPr>
          <w:rFonts w:ascii="Times New Roman" w:eastAsia="宋体" w:hAnsi="Times New Roman" w:cs="Times New Roman" w:hint="eastAsia"/>
          <w:sz w:val="20"/>
          <w:szCs w:val="20"/>
        </w:rPr>
        <w:t xml:space="preserve">handle the impact of large propagation delay on timing relationship, </w:t>
      </w:r>
      <w:r w:rsidR="00EF3544">
        <w:rPr>
          <w:rFonts w:ascii="Times New Roman" w:eastAsia="宋体" w:hAnsi="Times New Roman" w:cs="Times New Roman"/>
          <w:sz w:val="20"/>
          <w:szCs w:val="20"/>
        </w:rPr>
        <w:t>the agreed parameter as</w:t>
      </w:r>
      <w:r w:rsidR="00EF3544">
        <w:rPr>
          <w:rFonts w:ascii="Times New Roman" w:eastAsia="宋体" w:hAnsi="Times New Roman" w:cs="Times New Roman" w:hint="eastAsia"/>
          <w:sz w:val="20"/>
          <w:szCs w:val="20"/>
        </w:rPr>
        <w:t xml:space="preserve"> K_offset</w:t>
      </w:r>
      <w:r w:rsidR="00EF3544">
        <w:rPr>
          <w:rFonts w:ascii="Times New Roman" w:eastAsia="宋体" w:hAnsi="Times New Roman" w:cs="Times New Roman"/>
          <w:sz w:val="20"/>
          <w:szCs w:val="20"/>
        </w:rPr>
        <w:t xml:space="preserve"> (e.g., UE specific) can be </w:t>
      </w:r>
      <w:r w:rsidR="005C3EEC">
        <w:rPr>
          <w:rFonts w:ascii="Times New Roman" w:eastAsia="宋体" w:hAnsi="Times New Roman" w:cs="Times New Roman" w:hint="eastAsia"/>
          <w:sz w:val="20"/>
          <w:szCs w:val="20"/>
        </w:rPr>
        <w:t xml:space="preserve">considered </w:t>
      </w:r>
      <w:r w:rsidR="00EF3544">
        <w:rPr>
          <w:rFonts w:ascii="Times New Roman" w:eastAsia="宋体" w:hAnsi="Times New Roman" w:cs="Times New Roman"/>
          <w:sz w:val="20"/>
          <w:szCs w:val="20"/>
        </w:rPr>
        <w:t>as the reference for UE to derive corresponding UE-gNB RTT. For ensuring normal scheduling (e.g., UL transmission), the value of K_offset will not be smaller than UE-gNB RTT. Moreover, with indication of common TA value and UE-specific calculated TA for service link, the corresponding RTT value can also be derived. But, as the network controlled value, for addressing other purpose (e.g., handling the over-estimation issue for pre-compensation), adjustment on the value can also be considered.</w:t>
      </w:r>
    </w:p>
    <w:p w:rsidR="00EF3544" w:rsidRDefault="00EF3544" w:rsidP="00EF3544">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Then, w.r.t the 2</w:t>
      </w:r>
      <w:r w:rsidRPr="00CA5893">
        <w:rPr>
          <w:rFonts w:ascii="Times New Roman" w:eastAsia="宋体" w:hAnsi="Times New Roman" w:cs="Times New Roman"/>
          <w:sz w:val="20"/>
          <w:szCs w:val="20"/>
          <w:vertAlign w:val="superscript"/>
        </w:rPr>
        <w:t>nd</w:t>
      </w:r>
      <w:r>
        <w:rPr>
          <w:rFonts w:ascii="Times New Roman" w:eastAsia="宋体" w:hAnsi="Times New Roman" w:cs="Times New Roman"/>
          <w:sz w:val="20"/>
          <w:szCs w:val="20"/>
        </w:rPr>
        <w:t xml:space="preserve"> question from RAN2’s LS, f</w:t>
      </w:r>
      <w:r w:rsidRPr="0049591F">
        <w:rPr>
          <w:rFonts w:ascii="Times New Roman" w:eastAsia="宋体" w:hAnsi="Times New Roman"/>
          <w:bCs/>
          <w:sz w:val="20"/>
          <w:szCs w:val="20"/>
        </w:rPr>
        <w:t>rom RAN1’s perspective,</w:t>
      </w:r>
      <w:r>
        <w:rPr>
          <w:rFonts w:ascii="Times New Roman" w:eastAsia="宋体" w:hAnsi="Times New Roman"/>
          <w:bCs/>
          <w:sz w:val="20"/>
          <w:szCs w:val="20"/>
        </w:rPr>
        <w:t xml:space="preserve"> both the indicated UE-specific K_offset value and derived TA based on indicated common TA information and calculated TA for service can be considered by the UE to determine the UE-gNB RTT. </w:t>
      </w:r>
    </w:p>
    <w:p w:rsidR="00EF3544" w:rsidRDefault="005C3EEC" w:rsidP="00CA5893">
      <w:pPr>
        <w:pStyle w:val="ad"/>
        <w:spacing w:beforeLines="50" w:before="120" w:afterLines="50" w:after="120" w:line="240" w:lineRule="auto"/>
        <w:ind w:leftChars="200" w:left="440" w:firstLineChars="0" w:firstLine="0"/>
        <w:jc w:val="both"/>
        <w:rPr>
          <w:rFonts w:ascii="Times New Roman" w:eastAsia="宋体" w:hAnsi="Times New Roman"/>
          <w:i/>
          <w:sz w:val="20"/>
          <w:szCs w:val="20"/>
        </w:rPr>
      </w:pPr>
      <w:r>
        <w:rPr>
          <w:rFonts w:ascii="Times New Roman" w:eastAsia="宋体" w:hAnsi="Times New Roman"/>
          <w:b/>
          <w:i/>
          <w:sz w:val="20"/>
          <w:szCs w:val="20"/>
        </w:rPr>
        <w:t xml:space="preserve">Proposal </w:t>
      </w:r>
      <w:r>
        <w:rPr>
          <w:rFonts w:ascii="Times New Roman" w:eastAsia="宋体" w:hAnsi="Times New Roman" w:hint="eastAsia"/>
          <w:b/>
          <w:i/>
          <w:sz w:val="20"/>
          <w:szCs w:val="20"/>
        </w:rPr>
        <w:t>2</w:t>
      </w:r>
      <w:r>
        <w:rPr>
          <w:rFonts w:ascii="Times New Roman" w:eastAsia="宋体" w:hAnsi="Times New Roman"/>
          <w:b/>
          <w:i/>
          <w:sz w:val="20"/>
          <w:szCs w:val="20"/>
        </w:rPr>
        <w:t xml:space="preserve">: </w:t>
      </w:r>
      <w:r w:rsidR="00EF3544">
        <w:rPr>
          <w:rFonts w:ascii="Times New Roman" w:eastAsia="宋体" w:hAnsi="Times New Roman"/>
          <w:bCs/>
          <w:i/>
          <w:sz w:val="20"/>
          <w:szCs w:val="20"/>
        </w:rPr>
        <w:t>Capturing following information in the reply LS to RAN2 w.r.t Q2:</w:t>
      </w:r>
    </w:p>
    <w:p w:rsidR="00EF3544" w:rsidRDefault="00EF3544" w:rsidP="00EF3544">
      <w:pPr>
        <w:ind w:leftChars="200" w:left="440"/>
        <w:jc w:val="both"/>
        <w:rPr>
          <w:rFonts w:ascii="Times New Roman" w:eastAsia="宋体" w:hAnsi="Times New Roman"/>
          <w:bCs/>
          <w:i/>
          <w:sz w:val="20"/>
          <w:szCs w:val="20"/>
        </w:rPr>
      </w:pPr>
      <w:r>
        <w:rPr>
          <w:rFonts w:ascii="Times New Roman" w:eastAsia="宋体" w:hAnsi="Times New Roman"/>
          <w:bCs/>
          <w:i/>
          <w:sz w:val="20"/>
          <w:szCs w:val="20"/>
        </w:rPr>
        <w:t>From RAN1’s perspective, the following information can be considered as reference for UE to determine the UE-gNB RTT information:</w:t>
      </w:r>
    </w:p>
    <w:p w:rsidR="00EF3544" w:rsidRDefault="00EF3544" w:rsidP="00EF3544">
      <w:pPr>
        <w:pStyle w:val="ad"/>
        <w:numPr>
          <w:ilvl w:val="0"/>
          <w:numId w:val="8"/>
        </w:numPr>
        <w:spacing w:beforeLines="50" w:before="120" w:after="0" w:line="240" w:lineRule="auto"/>
        <w:ind w:firstLineChars="0"/>
        <w:jc w:val="both"/>
        <w:rPr>
          <w:rFonts w:ascii="Times New Roman" w:eastAsia="宋体" w:hAnsi="Times New Roman" w:cs="Times New Roman"/>
          <w:i/>
          <w:sz w:val="20"/>
          <w:szCs w:val="20"/>
        </w:rPr>
      </w:pPr>
      <w:r>
        <w:rPr>
          <w:rFonts w:ascii="Times New Roman" w:eastAsia="宋体" w:hAnsi="Times New Roman"/>
          <w:bCs/>
          <w:i/>
          <w:sz w:val="20"/>
          <w:szCs w:val="20"/>
        </w:rPr>
        <w:t>Pre-compensated TA including common TA and UE-specific TA for service link</w:t>
      </w:r>
    </w:p>
    <w:p w:rsidR="00141498" w:rsidRPr="00B37147" w:rsidRDefault="00EF3544" w:rsidP="00CA5893">
      <w:pPr>
        <w:pStyle w:val="ad"/>
        <w:numPr>
          <w:ilvl w:val="0"/>
          <w:numId w:val="8"/>
        </w:numPr>
        <w:spacing w:beforeLines="50" w:before="120" w:after="0" w:line="240" w:lineRule="auto"/>
        <w:ind w:leftChars="200" w:firstLineChars="0"/>
        <w:jc w:val="both"/>
        <w:rPr>
          <w:rFonts w:ascii="Times New Roman" w:eastAsia="宋体" w:hAnsi="Times New Roman"/>
          <w:i/>
          <w:sz w:val="20"/>
          <w:szCs w:val="20"/>
        </w:rPr>
      </w:pPr>
      <w:r w:rsidRPr="000019DE">
        <w:rPr>
          <w:rFonts w:ascii="Times New Roman" w:eastAsia="宋体" w:hAnsi="Times New Roman"/>
          <w:bCs/>
          <w:i/>
          <w:sz w:val="20"/>
          <w:szCs w:val="20"/>
        </w:rPr>
        <w:t>UE-specific</w:t>
      </w:r>
      <w:r w:rsidRPr="00B37147">
        <w:rPr>
          <w:rFonts w:ascii="Times New Roman" w:eastAsia="宋体" w:hAnsi="Times New Roman"/>
          <w:bCs/>
          <w:i/>
          <w:sz w:val="20"/>
          <w:szCs w:val="20"/>
        </w:rPr>
        <w:t xml:space="preserve"> K_offset</w:t>
      </w:r>
    </w:p>
    <w:p w:rsidR="00141498" w:rsidRPr="00CA5893" w:rsidRDefault="00BC7EBB" w:rsidP="00CA5893">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 xml:space="preserve">Details of </w:t>
      </w:r>
      <w:r w:rsidR="005C3EEC" w:rsidRPr="00CA5893">
        <w:rPr>
          <w:rFonts w:eastAsia="黑体" w:cs="Times New Roman"/>
          <w:b/>
          <w:bCs/>
          <w:sz w:val="28"/>
          <w:szCs w:val="30"/>
          <w:lang w:val="en-US"/>
        </w:rPr>
        <w:t>TA report</w:t>
      </w:r>
    </w:p>
    <w:p w:rsidR="00BA7EEF" w:rsidRPr="00CA5893" w:rsidRDefault="00B37147" w:rsidP="00CA5893">
      <w:pPr>
        <w:pStyle w:val="ad"/>
        <w:spacing w:beforeLines="50" w:before="120" w:afterLines="50" w:after="120" w:line="240" w:lineRule="auto"/>
        <w:ind w:leftChars="200" w:left="440" w:firstLineChars="0" w:firstLine="0"/>
        <w:jc w:val="both"/>
        <w:rPr>
          <w:rFonts w:ascii="Times New Roman" w:eastAsia="宋体" w:hAnsi="Times New Roman"/>
        </w:rPr>
      </w:pPr>
      <w:r>
        <w:rPr>
          <w:rFonts w:ascii="Times New Roman" w:eastAsia="宋体" w:hAnsi="Times New Roman" w:cs="Times New Roman"/>
          <w:sz w:val="20"/>
          <w:szCs w:val="20"/>
        </w:rPr>
        <w:t>W.r.t the 3</w:t>
      </w:r>
      <w:r w:rsidRPr="00CA5893">
        <w:rPr>
          <w:rFonts w:ascii="Times New Roman" w:eastAsia="宋体" w:hAnsi="Times New Roman" w:cs="Times New Roman"/>
          <w:sz w:val="20"/>
          <w:szCs w:val="20"/>
          <w:vertAlign w:val="superscript"/>
        </w:rPr>
        <w:t>rd</w:t>
      </w:r>
      <w:r>
        <w:rPr>
          <w:rFonts w:ascii="Times New Roman" w:eastAsia="宋体" w:hAnsi="Times New Roman" w:cs="Times New Roman"/>
          <w:sz w:val="20"/>
          <w:szCs w:val="20"/>
        </w:rPr>
        <w:t xml:space="preserve"> question from RAN2 on </w:t>
      </w:r>
      <w:r w:rsidR="005C3EEC">
        <w:rPr>
          <w:rFonts w:ascii="Times New Roman" w:eastAsia="宋体" w:hAnsi="Times New Roman" w:cs="Times New Roman" w:hint="eastAsia"/>
          <w:sz w:val="20"/>
          <w:szCs w:val="20"/>
        </w:rPr>
        <w:t>the content and frequency of UE reporting of UE specific TA pre-compensation value</w:t>
      </w:r>
      <w:r>
        <w:rPr>
          <w:rFonts w:ascii="Times New Roman" w:eastAsia="宋体" w:hAnsi="Times New Roman" w:cs="Times New Roman"/>
          <w:sz w:val="20"/>
          <w:szCs w:val="20"/>
        </w:rPr>
        <w:t>, it should be noticed that following agreement has been made in RAN2 at</w:t>
      </w:r>
      <w:r w:rsidR="00BA7EEF">
        <w:rPr>
          <w:rFonts w:ascii="Times New Roman" w:eastAsia="宋体" w:hAnsi="Times New Roman" w:cs="Times New Roman"/>
          <w:sz w:val="20"/>
          <w:szCs w:val="20"/>
        </w:rPr>
        <w:t xml:space="preserve"> RAN2#113b-e</w:t>
      </w:r>
      <w:r w:rsidR="00906601">
        <w:rPr>
          <w:rFonts w:ascii="Times New Roman" w:eastAsia="宋体" w:hAnsi="Times New Roman" w:cs="Times New Roman"/>
          <w:sz w:val="20"/>
          <w:szCs w:val="20"/>
        </w:rPr>
        <w:t>, although the 2</w:t>
      </w:r>
      <w:r w:rsidR="00906601" w:rsidRPr="00CA5893">
        <w:rPr>
          <w:rFonts w:ascii="Times New Roman" w:eastAsia="宋体" w:hAnsi="Times New Roman" w:cs="Times New Roman"/>
          <w:sz w:val="20"/>
          <w:szCs w:val="20"/>
        </w:rPr>
        <w:t>nd</w:t>
      </w:r>
      <w:r w:rsidR="00906601">
        <w:rPr>
          <w:rFonts w:ascii="Times New Roman" w:eastAsia="宋体" w:hAnsi="Times New Roman" w:cs="Times New Roman"/>
          <w:sz w:val="20"/>
          <w:szCs w:val="20"/>
        </w:rPr>
        <w:t xml:space="preserve"> bullet is pending according to the discussion in post meeting email discussion as </w:t>
      </w:r>
      <w:r w:rsidR="00906601" w:rsidRPr="00CA5893">
        <w:rPr>
          <w:rFonts w:ascii="Times New Roman" w:eastAsia="宋体" w:hAnsi="Times New Roman" w:cs="Times New Roman"/>
          <w:sz w:val="20"/>
          <w:szCs w:val="20"/>
        </w:rPr>
        <w:t>[Post113bis-e][103][NTN]</w:t>
      </w:r>
      <w:r w:rsidR="00C14D2E">
        <w:rPr>
          <w:rFonts w:ascii="Times New Roman" w:eastAsia="宋体" w:hAnsi="Times New Roman" w:cs="Times New Roman"/>
          <w:sz w:val="20"/>
          <w:szCs w:val="20"/>
        </w:rPr>
        <w:t>.</w:t>
      </w:r>
    </w:p>
    <w:p w:rsidR="00BA7EEF" w:rsidRPr="00CA5893" w:rsidRDefault="00BA7EEF" w:rsidP="00BA7EEF">
      <w:pPr>
        <w:pStyle w:val="Doc-text2"/>
        <w:pBdr>
          <w:top w:val="single" w:sz="4" w:space="1" w:color="auto"/>
          <w:left w:val="single" w:sz="4" w:space="4" w:color="auto"/>
          <w:bottom w:val="single" w:sz="4" w:space="1" w:color="auto"/>
          <w:right w:val="single" w:sz="4" w:space="4" w:color="auto"/>
        </w:pBdr>
        <w:rPr>
          <w:rFonts w:ascii="Times New Roman" w:hAnsi="Times New Roman"/>
          <w:lang w:val="en-US"/>
        </w:rPr>
      </w:pPr>
      <w:r w:rsidRPr="00CA5893">
        <w:rPr>
          <w:rFonts w:ascii="Times New Roman" w:hAnsi="Times New Roman"/>
          <w:lang w:val="en-US"/>
        </w:rPr>
        <w:t>Agreements:</w:t>
      </w:r>
    </w:p>
    <w:p w:rsidR="00BA7EEF" w:rsidRPr="00CA5893" w:rsidRDefault="00BA7EEF" w:rsidP="00BA7EEF">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ascii="Times New Roman" w:hAnsi="Times New Roman"/>
          <w:lang w:val="en-US"/>
        </w:rPr>
      </w:pPr>
      <w:r w:rsidRPr="00CA5893">
        <w:rPr>
          <w:rFonts w:ascii="Times New Roman" w:hAnsi="Times New Roman"/>
          <w:lang w:val="en-US"/>
        </w:rPr>
        <w:t>At least for uplink scheduling adaptations, the UE may report information about the UE specific TA pre-compensation. The exact information and frequency of reports depend on RAN1 outcome. FFS on when/how to report.</w:t>
      </w:r>
    </w:p>
    <w:p w:rsidR="00BA7EEF" w:rsidRPr="00CA5893" w:rsidRDefault="00BA7EEF" w:rsidP="00BA7EEF">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ascii="Times New Roman" w:hAnsi="Times New Roman"/>
          <w:lang w:val="en-US"/>
        </w:rPr>
      </w:pPr>
      <w:r w:rsidRPr="00CA5893">
        <w:rPr>
          <w:rFonts w:ascii="Times New Roman" w:hAnsi="Times New Roman"/>
          <w:lang w:val="en-US"/>
        </w:rPr>
        <w:t>T</w:t>
      </w:r>
      <w:r w:rsidRPr="00CA5893">
        <w:rPr>
          <w:rFonts w:ascii="Times New Roman" w:hAnsi="Times New Roman"/>
        </w:rPr>
        <w:t>he UE reports the UE specific TA pre-compensation during RACH procedure using MAC CE (FFS if this needs to be configured). Actual content is FFS and also depends on further RAN1 input.</w:t>
      </w:r>
    </w:p>
    <w:p w:rsidR="007C3917" w:rsidRDefault="00B37147" w:rsidP="007C3917">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From RAN1’s perspective,</w:t>
      </w:r>
      <w:r w:rsidRPr="00CA5893">
        <w:rPr>
          <w:rFonts w:ascii="Times New Roman" w:eastAsia="宋体" w:hAnsi="Times New Roman" w:cs="Times New Roman"/>
          <w:sz w:val="20"/>
          <w:szCs w:val="20"/>
        </w:rPr>
        <w:t xml:space="preserve"> </w:t>
      </w:r>
      <w:r w:rsidR="007C3917">
        <w:rPr>
          <w:rFonts w:ascii="Times New Roman" w:eastAsia="宋体" w:hAnsi="Times New Roman" w:cs="Times New Roman"/>
          <w:sz w:val="20"/>
          <w:szCs w:val="20"/>
        </w:rPr>
        <w:t xml:space="preserve">as highlighted in our contribution </w:t>
      </w:r>
      <w:r w:rsidR="007C3917">
        <w:rPr>
          <w:rFonts w:ascii="Times New Roman" w:eastAsia="宋体" w:hAnsi="Times New Roman" w:cs="Times New Roman"/>
          <w:sz w:val="20"/>
          <w:szCs w:val="20"/>
        </w:rPr>
        <w:fldChar w:fldCharType="begin"/>
      </w:r>
      <w:r w:rsidR="007C3917">
        <w:rPr>
          <w:rFonts w:ascii="Times New Roman" w:eastAsia="宋体" w:hAnsi="Times New Roman" w:cs="Times New Roman"/>
          <w:sz w:val="20"/>
          <w:szCs w:val="20"/>
        </w:rPr>
        <w:instrText xml:space="preserve"> REF _Ref71553327 \r \h </w:instrText>
      </w:r>
      <w:r w:rsidR="007C3917">
        <w:rPr>
          <w:rFonts w:ascii="Times New Roman" w:eastAsia="宋体" w:hAnsi="Times New Roman" w:cs="Times New Roman"/>
          <w:sz w:val="20"/>
          <w:szCs w:val="20"/>
        </w:rPr>
      </w:r>
      <w:r w:rsidR="007C3917">
        <w:rPr>
          <w:rFonts w:ascii="Times New Roman" w:eastAsia="宋体" w:hAnsi="Times New Roman" w:cs="Times New Roman"/>
          <w:sz w:val="20"/>
          <w:szCs w:val="20"/>
        </w:rPr>
        <w:fldChar w:fldCharType="separate"/>
      </w:r>
      <w:r w:rsidR="007C3917">
        <w:rPr>
          <w:rFonts w:ascii="Times New Roman" w:eastAsia="宋体" w:hAnsi="Times New Roman" w:cs="Times New Roman"/>
          <w:sz w:val="20"/>
          <w:szCs w:val="20"/>
        </w:rPr>
        <w:t>[4]</w:t>
      </w:r>
      <w:r w:rsidR="007C3917">
        <w:rPr>
          <w:rFonts w:ascii="Times New Roman" w:eastAsia="宋体" w:hAnsi="Times New Roman" w:cs="Times New Roman"/>
          <w:sz w:val="20"/>
          <w:szCs w:val="20"/>
        </w:rPr>
        <w:fldChar w:fldCharType="end"/>
      </w:r>
      <w:r w:rsidR="007C3917">
        <w:rPr>
          <w:rFonts w:ascii="Times New Roman" w:eastAsia="宋体" w:hAnsi="Times New Roman" w:cs="Times New Roman"/>
          <w:sz w:val="20"/>
          <w:szCs w:val="20"/>
        </w:rPr>
        <w:t>, for enabling the proper scheduling for UL, the report of UE-specific calculated TA should be supported. More specifically, w.r.t to how to report corresponding value, at least following approaches can be considered:</w:t>
      </w:r>
    </w:p>
    <w:p w:rsidR="007C3917" w:rsidRDefault="007C3917" w:rsidP="00CA5893">
      <w:pPr>
        <w:pStyle w:val="ad"/>
        <w:numPr>
          <w:ilvl w:val="0"/>
          <w:numId w:val="21"/>
        </w:numPr>
        <w:spacing w:beforeLines="50" w:before="120" w:afterLines="50" w:after="120" w:line="240" w:lineRule="auto"/>
        <w:ind w:firstLineChars="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T</w:t>
      </w:r>
      <w:r>
        <w:rPr>
          <w:rFonts w:ascii="Times New Roman" w:eastAsia="宋体" w:hAnsi="Times New Roman" w:cs="Times New Roman"/>
          <w:sz w:val="20"/>
          <w:szCs w:val="20"/>
        </w:rPr>
        <w:t xml:space="preserve">A report via Msg-A: With usage of 2-step RACH, the TA report can be conducted by Msg-A to enable the proper scheduling for early scheduling. </w:t>
      </w:r>
    </w:p>
    <w:p w:rsidR="007C3917" w:rsidRPr="00CA5893" w:rsidRDefault="007C3917" w:rsidP="00CA5893">
      <w:pPr>
        <w:pStyle w:val="ad"/>
        <w:numPr>
          <w:ilvl w:val="0"/>
          <w:numId w:val="21"/>
        </w:numPr>
        <w:spacing w:beforeLines="50" w:before="120" w:afterLines="50" w:after="120" w:line="240" w:lineRule="auto"/>
        <w:ind w:firstLineChars="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TA report via periodical PUSCH: With consideration on the movement of satellite, the required updates on the pre-compensated TA will have impacts on the consecutive UL scheduling in the connection mode. In this way, for saving the signaling overhead and reducing the complexity, the periodical report of such value is preferred. </w:t>
      </w:r>
    </w:p>
    <w:p w:rsidR="007C3917" w:rsidRPr="00CA5893" w:rsidRDefault="007C3917" w:rsidP="00CA5893">
      <w:pPr>
        <w:ind w:left="420"/>
        <w:jc w:val="both"/>
        <w:rPr>
          <w:rFonts w:ascii="Times New Roman" w:eastAsia="宋体" w:hAnsi="Times New Roman"/>
          <w:sz w:val="20"/>
          <w:szCs w:val="20"/>
        </w:rPr>
      </w:pPr>
      <w:r w:rsidRPr="00CA5893">
        <w:rPr>
          <w:rFonts w:ascii="Times New Roman" w:eastAsia="宋体" w:hAnsi="Times New Roman" w:cs="Times New Roman"/>
          <w:sz w:val="20"/>
          <w:szCs w:val="20"/>
        </w:rPr>
        <w:t>T</w:t>
      </w:r>
      <w:r w:rsidRPr="007C3917">
        <w:rPr>
          <w:rFonts w:ascii="Times New Roman" w:eastAsia="宋体" w:hAnsi="Times New Roman" w:cs="Times New Roman"/>
          <w:sz w:val="20"/>
          <w:szCs w:val="20"/>
        </w:rPr>
        <w:t xml:space="preserve">hen, w.r.t the </w:t>
      </w:r>
      <w:r>
        <w:rPr>
          <w:rFonts w:ascii="Times New Roman" w:eastAsia="宋体" w:hAnsi="Times New Roman" w:cs="Times New Roman"/>
          <w:sz w:val="20"/>
          <w:szCs w:val="20"/>
        </w:rPr>
        <w:t>3</w:t>
      </w:r>
      <w:r w:rsidRPr="00CA5893">
        <w:rPr>
          <w:rFonts w:ascii="Times New Roman" w:eastAsia="宋体" w:hAnsi="Times New Roman" w:cs="Times New Roman"/>
          <w:sz w:val="20"/>
          <w:szCs w:val="20"/>
          <w:vertAlign w:val="superscript"/>
        </w:rPr>
        <w:t>rd</w:t>
      </w:r>
      <w:r>
        <w:rPr>
          <w:rFonts w:ascii="Times New Roman" w:eastAsia="宋体" w:hAnsi="Times New Roman" w:cs="Times New Roman"/>
          <w:sz w:val="20"/>
          <w:szCs w:val="20"/>
        </w:rPr>
        <w:t xml:space="preserve"> </w:t>
      </w:r>
      <w:r w:rsidRPr="00CA5893">
        <w:rPr>
          <w:rFonts w:ascii="Times New Roman" w:eastAsia="宋体" w:hAnsi="Times New Roman" w:cs="Times New Roman"/>
          <w:sz w:val="20"/>
          <w:szCs w:val="20"/>
        </w:rPr>
        <w:t>question from RAN2’s LS, f</w:t>
      </w:r>
      <w:r w:rsidRPr="00CA5893">
        <w:rPr>
          <w:rFonts w:ascii="Times New Roman" w:eastAsia="宋体" w:hAnsi="Times New Roman"/>
          <w:bCs/>
          <w:sz w:val="20"/>
          <w:szCs w:val="20"/>
        </w:rPr>
        <w:t xml:space="preserve">rom RAN1’s perspective, </w:t>
      </w:r>
      <w:r>
        <w:rPr>
          <w:rFonts w:ascii="Times New Roman" w:eastAsia="宋体" w:hAnsi="Times New Roman"/>
          <w:bCs/>
          <w:sz w:val="20"/>
          <w:szCs w:val="20"/>
        </w:rPr>
        <w:t xml:space="preserve">at least </w:t>
      </w:r>
      <w:r w:rsidR="00937334">
        <w:rPr>
          <w:rFonts w:ascii="Times New Roman" w:eastAsia="宋体" w:hAnsi="Times New Roman"/>
          <w:bCs/>
          <w:sz w:val="20"/>
          <w:szCs w:val="20"/>
        </w:rPr>
        <w:t xml:space="preserve">the full </w:t>
      </w:r>
      <w:r w:rsidR="00117C84">
        <w:rPr>
          <w:rFonts w:ascii="Times New Roman" w:eastAsia="宋体" w:hAnsi="Times New Roman"/>
          <w:bCs/>
          <w:sz w:val="20"/>
          <w:szCs w:val="20"/>
        </w:rPr>
        <w:t xml:space="preserve">TA </w:t>
      </w:r>
      <w:r w:rsidR="00937334">
        <w:rPr>
          <w:rFonts w:ascii="Times New Roman" w:eastAsia="宋体" w:hAnsi="Times New Roman"/>
          <w:bCs/>
          <w:sz w:val="20"/>
          <w:szCs w:val="20"/>
        </w:rPr>
        <w:t xml:space="preserve">value </w:t>
      </w:r>
      <w:r w:rsidR="00117C84">
        <w:rPr>
          <w:rFonts w:ascii="Times New Roman" w:eastAsia="宋体" w:hAnsi="Times New Roman"/>
          <w:bCs/>
          <w:sz w:val="20"/>
          <w:szCs w:val="20"/>
        </w:rPr>
        <w:t>which will be applied for the UL transmission</w:t>
      </w:r>
      <w:r w:rsidR="00937334">
        <w:rPr>
          <w:rFonts w:ascii="Times New Roman" w:eastAsia="宋体" w:hAnsi="Times New Roman"/>
          <w:bCs/>
          <w:sz w:val="20"/>
          <w:szCs w:val="20"/>
        </w:rPr>
        <w:t xml:space="preserve"> should be reported by UE with via Msg-A and periodical PUSCH</w:t>
      </w:r>
      <w:r w:rsidR="00004E03">
        <w:rPr>
          <w:rFonts w:ascii="Times New Roman" w:eastAsia="宋体" w:hAnsi="Times New Roman"/>
          <w:bCs/>
          <w:sz w:val="20"/>
          <w:szCs w:val="20"/>
        </w:rPr>
        <w:t xml:space="preserve"> in CG</w:t>
      </w:r>
      <w:r w:rsidR="00937334">
        <w:rPr>
          <w:rFonts w:ascii="Times New Roman" w:eastAsia="宋体" w:hAnsi="Times New Roman"/>
          <w:bCs/>
          <w:sz w:val="20"/>
          <w:szCs w:val="20"/>
        </w:rPr>
        <w:t>.</w:t>
      </w:r>
    </w:p>
    <w:p w:rsidR="00C83397" w:rsidRDefault="00C83397" w:rsidP="00C83397">
      <w:pPr>
        <w:pStyle w:val="ad"/>
        <w:spacing w:beforeLines="50" w:before="120" w:afterLines="50" w:after="120" w:line="240" w:lineRule="auto"/>
        <w:ind w:leftChars="200" w:left="440" w:firstLineChars="0" w:firstLine="0"/>
        <w:jc w:val="both"/>
        <w:rPr>
          <w:rFonts w:ascii="Times New Roman" w:eastAsia="宋体" w:hAnsi="Times New Roman"/>
          <w:bCs/>
          <w:i/>
          <w:sz w:val="20"/>
          <w:szCs w:val="20"/>
        </w:rPr>
      </w:pPr>
      <w:r>
        <w:rPr>
          <w:rFonts w:ascii="Times New Roman" w:eastAsia="宋体" w:hAnsi="Times New Roman"/>
          <w:b/>
          <w:i/>
          <w:sz w:val="20"/>
          <w:szCs w:val="20"/>
        </w:rPr>
        <w:t xml:space="preserve">Proposal 3: </w:t>
      </w:r>
      <w:r>
        <w:rPr>
          <w:rFonts w:ascii="Times New Roman" w:eastAsia="宋体" w:hAnsi="Times New Roman"/>
          <w:bCs/>
          <w:i/>
          <w:sz w:val="20"/>
          <w:szCs w:val="20"/>
        </w:rPr>
        <w:t>Capturing following information in the reply LS to RAN2 w.r.t Q</w:t>
      </w:r>
      <w:r w:rsidR="0086074F">
        <w:rPr>
          <w:rFonts w:ascii="Times New Roman" w:eastAsia="宋体" w:hAnsi="Times New Roman"/>
          <w:bCs/>
          <w:i/>
          <w:sz w:val="20"/>
          <w:szCs w:val="20"/>
        </w:rPr>
        <w:t>3</w:t>
      </w:r>
      <w:r>
        <w:rPr>
          <w:rFonts w:ascii="Times New Roman" w:eastAsia="宋体" w:hAnsi="Times New Roman"/>
          <w:bCs/>
          <w:i/>
          <w:sz w:val="20"/>
          <w:szCs w:val="20"/>
        </w:rPr>
        <w:t>:</w:t>
      </w:r>
    </w:p>
    <w:p w:rsidR="00C83397" w:rsidRDefault="00C83397" w:rsidP="00C83397">
      <w:pPr>
        <w:ind w:leftChars="200" w:left="440"/>
        <w:jc w:val="both"/>
        <w:rPr>
          <w:rFonts w:ascii="Times New Roman" w:eastAsia="宋体" w:hAnsi="Times New Roman"/>
          <w:bCs/>
          <w:i/>
          <w:sz w:val="20"/>
          <w:szCs w:val="20"/>
        </w:rPr>
      </w:pPr>
      <w:r>
        <w:rPr>
          <w:rFonts w:ascii="Times New Roman" w:eastAsia="宋体" w:hAnsi="Times New Roman"/>
          <w:bCs/>
          <w:i/>
          <w:sz w:val="20"/>
          <w:szCs w:val="20"/>
        </w:rPr>
        <w:t>From RAN1’s perspective, the full TA value, which will be applied for UL transmission should be reported by UE via following two approaches:</w:t>
      </w:r>
    </w:p>
    <w:p w:rsidR="00C83397" w:rsidRDefault="00C83397" w:rsidP="00C83397">
      <w:pPr>
        <w:pStyle w:val="ad"/>
        <w:numPr>
          <w:ilvl w:val="0"/>
          <w:numId w:val="8"/>
        </w:numPr>
        <w:spacing w:beforeLines="50" w:before="120" w:after="0" w:line="240" w:lineRule="auto"/>
        <w:ind w:firstLineChars="0"/>
        <w:jc w:val="both"/>
        <w:rPr>
          <w:rFonts w:ascii="Times New Roman" w:eastAsia="宋体" w:hAnsi="Times New Roman" w:cs="Times New Roman"/>
          <w:i/>
          <w:sz w:val="20"/>
          <w:szCs w:val="20"/>
        </w:rPr>
      </w:pPr>
      <w:r>
        <w:rPr>
          <w:rFonts w:ascii="Times New Roman" w:eastAsia="宋体" w:hAnsi="Times New Roman"/>
          <w:bCs/>
          <w:i/>
          <w:sz w:val="20"/>
          <w:szCs w:val="20"/>
        </w:rPr>
        <w:t>Msg-A in two-step RACH</w:t>
      </w:r>
    </w:p>
    <w:p w:rsidR="00C83397" w:rsidRPr="00B37147" w:rsidRDefault="00C83397" w:rsidP="00C83397">
      <w:pPr>
        <w:pStyle w:val="ad"/>
        <w:numPr>
          <w:ilvl w:val="0"/>
          <w:numId w:val="8"/>
        </w:numPr>
        <w:spacing w:beforeLines="50" w:before="120" w:after="0" w:line="240" w:lineRule="auto"/>
        <w:ind w:leftChars="200" w:firstLineChars="0"/>
        <w:jc w:val="both"/>
        <w:rPr>
          <w:rFonts w:ascii="Times New Roman" w:eastAsia="宋体" w:hAnsi="Times New Roman"/>
          <w:i/>
          <w:sz w:val="20"/>
          <w:szCs w:val="20"/>
        </w:rPr>
      </w:pPr>
      <w:r>
        <w:rPr>
          <w:rFonts w:ascii="Times New Roman" w:eastAsia="宋体" w:hAnsi="Times New Roman"/>
          <w:bCs/>
          <w:i/>
          <w:sz w:val="20"/>
          <w:szCs w:val="20"/>
        </w:rPr>
        <w:lastRenderedPageBreak/>
        <w:t>Periodically PUSCH</w:t>
      </w:r>
    </w:p>
    <w:p w:rsidR="00141498" w:rsidRDefault="005C3EEC">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rsidR="00141498" w:rsidRDefault="005C3EEC">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w:t>
      </w:r>
      <w:r>
        <w:rPr>
          <w:rFonts w:ascii="Times New Roman" w:eastAsia="宋体" w:hAnsi="Times New Roman" w:cs="Times New Roman" w:hint="eastAsia"/>
          <w:sz w:val="20"/>
          <w:szCs w:val="20"/>
        </w:rPr>
        <w:t>the questions in RAN2 LS are analyzed</w:t>
      </w:r>
      <w:r>
        <w:rPr>
          <w:rFonts w:ascii="Times New Roman" w:eastAsia="宋体" w:hAnsi="Times New Roman" w:cs="Times New Roman"/>
          <w:sz w:val="20"/>
          <w:szCs w:val="20"/>
        </w:rPr>
        <w:t xml:space="preserve"> with following proposals:</w:t>
      </w:r>
    </w:p>
    <w:p w:rsidR="00510938" w:rsidRDefault="00510938" w:rsidP="00510938">
      <w:pPr>
        <w:spacing w:beforeLines="100" w:before="240"/>
        <w:ind w:leftChars="200" w:left="440"/>
        <w:jc w:val="both"/>
        <w:rPr>
          <w:rFonts w:ascii="Times New Roman" w:eastAsia="宋体" w:hAnsi="Times New Roman"/>
          <w:i/>
          <w:sz w:val="20"/>
          <w:szCs w:val="20"/>
        </w:rPr>
      </w:pPr>
      <w:r>
        <w:rPr>
          <w:rFonts w:ascii="Times New Roman" w:eastAsia="宋体" w:hAnsi="Times New Roman"/>
          <w:b/>
          <w:i/>
          <w:sz w:val="20"/>
          <w:szCs w:val="20"/>
        </w:rPr>
        <w:t xml:space="preserve">Proposal </w:t>
      </w:r>
      <w:r>
        <w:rPr>
          <w:rFonts w:ascii="Times New Roman" w:eastAsia="宋体" w:hAnsi="Times New Roman" w:hint="eastAsia"/>
          <w:b/>
          <w:i/>
          <w:sz w:val="20"/>
          <w:szCs w:val="20"/>
        </w:rPr>
        <w:t>1</w:t>
      </w:r>
      <w:r>
        <w:rPr>
          <w:rFonts w:ascii="Times New Roman" w:eastAsia="宋体" w:hAnsi="Times New Roman"/>
          <w:b/>
          <w:i/>
          <w:sz w:val="20"/>
          <w:szCs w:val="20"/>
        </w:rPr>
        <w:t xml:space="preserve">: </w:t>
      </w:r>
      <w:r>
        <w:rPr>
          <w:rFonts w:ascii="Times New Roman" w:eastAsia="宋体" w:hAnsi="Times New Roman"/>
          <w:bCs/>
          <w:i/>
          <w:sz w:val="20"/>
          <w:szCs w:val="20"/>
        </w:rPr>
        <w:t>Capturing following information in the reply LS to RAN2 w.r.t Q1:</w:t>
      </w:r>
    </w:p>
    <w:p w:rsidR="00510938" w:rsidRDefault="00510938" w:rsidP="00510938">
      <w:pPr>
        <w:ind w:leftChars="200" w:left="440"/>
        <w:jc w:val="both"/>
        <w:rPr>
          <w:rFonts w:ascii="Times New Roman" w:eastAsia="宋体" w:hAnsi="Times New Roman"/>
          <w:i/>
          <w:sz w:val="20"/>
          <w:szCs w:val="20"/>
        </w:rPr>
      </w:pPr>
      <w:r>
        <w:rPr>
          <w:rFonts w:ascii="Times New Roman" w:eastAsia="宋体" w:hAnsi="Times New Roman"/>
          <w:bCs/>
          <w:i/>
          <w:sz w:val="20"/>
          <w:szCs w:val="20"/>
        </w:rPr>
        <w:t>From RAN1’s perspective, the e</w:t>
      </w:r>
      <w:r>
        <w:rPr>
          <w:rFonts w:ascii="Times New Roman" w:eastAsia="宋体" w:hAnsi="Times New Roman" w:hint="eastAsia"/>
          <w:bCs/>
          <w:i/>
          <w:sz w:val="20"/>
          <w:szCs w:val="20"/>
        </w:rPr>
        <w:t>phemeris</w:t>
      </w:r>
      <w:r>
        <w:rPr>
          <w:rFonts w:ascii="Times New Roman" w:eastAsia="宋体" w:hAnsi="Times New Roman"/>
          <w:bCs/>
          <w:i/>
          <w:sz w:val="20"/>
          <w:szCs w:val="20"/>
        </w:rPr>
        <w:t xml:space="preserve"> (at least in PV format)</w:t>
      </w:r>
      <w:r>
        <w:rPr>
          <w:rFonts w:ascii="Times New Roman" w:eastAsia="宋体" w:hAnsi="Times New Roman" w:hint="eastAsia"/>
          <w:bCs/>
          <w:i/>
          <w:sz w:val="20"/>
          <w:szCs w:val="20"/>
        </w:rPr>
        <w:t xml:space="preserve"> and common TA</w:t>
      </w:r>
      <w:r>
        <w:rPr>
          <w:rFonts w:ascii="Times New Roman" w:eastAsia="宋体" w:hAnsi="Times New Roman"/>
          <w:bCs/>
          <w:i/>
          <w:sz w:val="20"/>
          <w:szCs w:val="20"/>
        </w:rPr>
        <w:t xml:space="preserve"> including drift rates should be indicated to UE along with corresponding valid time for each parameters. And the exemplified periodicity can be:</w:t>
      </w:r>
    </w:p>
    <w:p w:rsidR="00153EA6" w:rsidRPr="00C739A1" w:rsidRDefault="00153EA6" w:rsidP="00153EA6">
      <w:pPr>
        <w:pStyle w:val="ad"/>
        <w:numPr>
          <w:ilvl w:val="0"/>
          <w:numId w:val="8"/>
        </w:numPr>
        <w:spacing w:beforeLines="50" w:before="120" w:after="0" w:line="240" w:lineRule="auto"/>
        <w:ind w:firstLineChars="0"/>
        <w:jc w:val="both"/>
        <w:rPr>
          <w:rFonts w:ascii="Times New Roman" w:eastAsia="宋体" w:hAnsi="Times New Roman" w:cs="Times New Roman"/>
          <w:i/>
          <w:sz w:val="20"/>
          <w:szCs w:val="20"/>
        </w:rPr>
      </w:pPr>
      <w:r w:rsidRPr="00C739A1">
        <w:rPr>
          <w:rFonts w:ascii="Times New Roman" w:eastAsia="宋体" w:hAnsi="Times New Roman"/>
          <w:bCs/>
          <w:i/>
          <w:sz w:val="20"/>
          <w:szCs w:val="20"/>
        </w:rPr>
        <w:t xml:space="preserve">Ephemeris data broadcast with a the upper bound of periodicity </w:t>
      </w:r>
      <w:r w:rsidRPr="00C739A1">
        <w:rPr>
          <w:rFonts w:ascii="Times New Roman" w:eastAsia="宋体" w:hAnsi="Times New Roman" w:cs="Times New Roman"/>
          <w:i/>
          <w:sz w:val="20"/>
          <w:szCs w:val="20"/>
        </w:rPr>
        <w:t>less than 60s or 30s based on the defined TA error range from RAN4 (e.g., CP/2 and Te), respectively</w:t>
      </w:r>
    </w:p>
    <w:p w:rsidR="00153EA6" w:rsidRPr="00C739A1" w:rsidRDefault="00153EA6" w:rsidP="00153EA6">
      <w:pPr>
        <w:pStyle w:val="ad"/>
        <w:numPr>
          <w:ilvl w:val="0"/>
          <w:numId w:val="8"/>
        </w:numPr>
        <w:spacing w:beforeLines="50" w:before="120" w:after="0" w:line="240" w:lineRule="auto"/>
        <w:ind w:firstLineChars="0"/>
        <w:jc w:val="both"/>
        <w:rPr>
          <w:rFonts w:ascii="Times New Roman" w:eastAsia="宋体" w:hAnsi="Times New Roman" w:cs="Times New Roman"/>
          <w:b/>
          <w:i/>
          <w:sz w:val="20"/>
          <w:szCs w:val="20"/>
        </w:rPr>
      </w:pPr>
      <w:r w:rsidRPr="00C739A1">
        <w:rPr>
          <w:rFonts w:ascii="Times New Roman" w:eastAsia="宋体" w:hAnsi="Times New Roman"/>
          <w:bCs/>
          <w:i/>
          <w:sz w:val="20"/>
          <w:szCs w:val="20"/>
        </w:rPr>
        <w:t>Common TA broadcast with a lower bound of periodicity as 4 s with either one of following conditions for single indication:</w:t>
      </w:r>
    </w:p>
    <w:p w:rsidR="00153EA6" w:rsidRPr="00C739A1" w:rsidRDefault="00153EA6" w:rsidP="00153EA6">
      <w:pPr>
        <w:numPr>
          <w:ilvl w:val="1"/>
          <w:numId w:val="9"/>
        </w:numPr>
        <w:spacing w:beforeLines="50" w:before="120" w:afterLines="50" w:after="120" w:line="240" w:lineRule="auto"/>
        <w:rPr>
          <w:rFonts w:ascii="Times New Roman" w:hAnsi="Times New Roman" w:cs="Times New Roman"/>
          <w:i/>
          <w:iCs/>
          <w:sz w:val="20"/>
          <w:szCs w:val="20"/>
        </w:rPr>
      </w:pPr>
      <w:r w:rsidRPr="00C739A1">
        <w:rPr>
          <w:rFonts w:ascii="Times New Roman" w:hAnsi="Times New Roman" w:cs="Times New Roman"/>
          <w:i/>
          <w:iCs/>
          <w:sz w:val="20"/>
          <w:szCs w:val="20"/>
        </w:rPr>
        <w:t>Both first and second order common TA drift rates are broadcast along with common TA</w:t>
      </w:r>
    </w:p>
    <w:p w:rsidR="00153EA6" w:rsidRPr="00C739A1" w:rsidRDefault="00153EA6" w:rsidP="00153EA6">
      <w:pPr>
        <w:numPr>
          <w:ilvl w:val="1"/>
          <w:numId w:val="9"/>
        </w:numPr>
        <w:spacing w:beforeLines="50" w:before="120" w:afterLines="50" w:after="120" w:line="240" w:lineRule="auto"/>
        <w:rPr>
          <w:rFonts w:ascii="Times New Roman" w:hAnsi="Times New Roman" w:cs="Times New Roman"/>
          <w:i/>
          <w:iCs/>
          <w:sz w:val="20"/>
          <w:szCs w:val="20"/>
        </w:rPr>
      </w:pPr>
      <w:r w:rsidRPr="00C739A1">
        <w:rPr>
          <w:rFonts w:ascii="Times New Roman" w:hAnsi="Times New Roman" w:cs="Times New Roman"/>
          <w:i/>
          <w:iCs/>
          <w:sz w:val="20"/>
          <w:szCs w:val="20"/>
        </w:rPr>
        <w:t>Multiple sets of common TA with drift rate by different applicable time instant or valid time are indicated together to further enlarge the periodicity</w:t>
      </w:r>
    </w:p>
    <w:p w:rsidR="00161C5F" w:rsidRDefault="00161C5F" w:rsidP="00161C5F">
      <w:pPr>
        <w:pStyle w:val="ad"/>
        <w:spacing w:beforeLines="50" w:before="120" w:afterLines="50" w:after="120" w:line="240" w:lineRule="auto"/>
        <w:ind w:leftChars="200" w:left="440" w:firstLineChars="0" w:firstLine="0"/>
        <w:jc w:val="both"/>
        <w:rPr>
          <w:rFonts w:ascii="Times New Roman" w:eastAsia="宋体" w:hAnsi="Times New Roman"/>
          <w:i/>
          <w:sz w:val="20"/>
          <w:szCs w:val="20"/>
        </w:rPr>
      </w:pPr>
      <w:bookmarkStart w:id="7" w:name="_GoBack"/>
      <w:bookmarkEnd w:id="7"/>
      <w:r>
        <w:rPr>
          <w:rFonts w:ascii="Times New Roman" w:eastAsia="宋体" w:hAnsi="Times New Roman"/>
          <w:b/>
          <w:i/>
          <w:sz w:val="20"/>
          <w:szCs w:val="20"/>
        </w:rPr>
        <w:t xml:space="preserve">Proposal </w:t>
      </w:r>
      <w:r>
        <w:rPr>
          <w:rFonts w:ascii="Times New Roman" w:eastAsia="宋体" w:hAnsi="Times New Roman" w:hint="eastAsia"/>
          <w:b/>
          <w:i/>
          <w:sz w:val="20"/>
          <w:szCs w:val="20"/>
        </w:rPr>
        <w:t>2</w:t>
      </w:r>
      <w:r>
        <w:rPr>
          <w:rFonts w:ascii="Times New Roman" w:eastAsia="宋体" w:hAnsi="Times New Roman"/>
          <w:b/>
          <w:i/>
          <w:sz w:val="20"/>
          <w:szCs w:val="20"/>
        </w:rPr>
        <w:t xml:space="preserve">: </w:t>
      </w:r>
      <w:r>
        <w:rPr>
          <w:rFonts w:ascii="Times New Roman" w:eastAsia="宋体" w:hAnsi="Times New Roman"/>
          <w:bCs/>
          <w:i/>
          <w:sz w:val="20"/>
          <w:szCs w:val="20"/>
        </w:rPr>
        <w:t>Capturing following information in the reply LS to RAN2 w.r.t Q2:</w:t>
      </w:r>
    </w:p>
    <w:p w:rsidR="00161C5F" w:rsidRDefault="00161C5F" w:rsidP="00161C5F">
      <w:pPr>
        <w:ind w:leftChars="200" w:left="440"/>
        <w:jc w:val="both"/>
        <w:rPr>
          <w:rFonts w:ascii="Times New Roman" w:eastAsia="宋体" w:hAnsi="Times New Roman"/>
          <w:bCs/>
          <w:i/>
          <w:sz w:val="20"/>
          <w:szCs w:val="20"/>
        </w:rPr>
      </w:pPr>
      <w:r>
        <w:rPr>
          <w:rFonts w:ascii="Times New Roman" w:eastAsia="宋体" w:hAnsi="Times New Roman"/>
          <w:bCs/>
          <w:i/>
          <w:sz w:val="20"/>
          <w:szCs w:val="20"/>
        </w:rPr>
        <w:t>From RAN1’s perspective, the following information can be considered as reference for UE to determine the UE-gNB RTT information:</w:t>
      </w:r>
    </w:p>
    <w:p w:rsidR="00161C5F" w:rsidRDefault="00161C5F" w:rsidP="00161C5F">
      <w:pPr>
        <w:pStyle w:val="ad"/>
        <w:numPr>
          <w:ilvl w:val="0"/>
          <w:numId w:val="8"/>
        </w:numPr>
        <w:spacing w:beforeLines="50" w:before="120" w:after="0" w:line="240" w:lineRule="auto"/>
        <w:ind w:firstLineChars="0"/>
        <w:jc w:val="both"/>
        <w:rPr>
          <w:rFonts w:ascii="Times New Roman" w:eastAsia="宋体" w:hAnsi="Times New Roman" w:cs="Times New Roman"/>
          <w:i/>
          <w:sz w:val="20"/>
          <w:szCs w:val="20"/>
        </w:rPr>
      </w:pPr>
      <w:r>
        <w:rPr>
          <w:rFonts w:ascii="Times New Roman" w:eastAsia="宋体" w:hAnsi="Times New Roman"/>
          <w:bCs/>
          <w:i/>
          <w:sz w:val="20"/>
          <w:szCs w:val="20"/>
        </w:rPr>
        <w:t>Pre-compensated TA including common TA and UE-specific TA for service link</w:t>
      </w:r>
    </w:p>
    <w:p w:rsidR="00161C5F" w:rsidRPr="00B37147" w:rsidRDefault="00161C5F" w:rsidP="00161C5F">
      <w:pPr>
        <w:pStyle w:val="ad"/>
        <w:numPr>
          <w:ilvl w:val="0"/>
          <w:numId w:val="8"/>
        </w:numPr>
        <w:spacing w:beforeLines="50" w:before="120" w:after="0" w:line="240" w:lineRule="auto"/>
        <w:ind w:leftChars="200" w:firstLineChars="0"/>
        <w:jc w:val="both"/>
        <w:rPr>
          <w:rFonts w:ascii="Times New Roman" w:eastAsia="宋体" w:hAnsi="Times New Roman"/>
          <w:i/>
          <w:sz w:val="20"/>
          <w:szCs w:val="20"/>
        </w:rPr>
      </w:pPr>
      <w:r w:rsidRPr="000019DE">
        <w:rPr>
          <w:rFonts w:ascii="Times New Roman" w:eastAsia="宋体" w:hAnsi="Times New Roman"/>
          <w:bCs/>
          <w:i/>
          <w:sz w:val="20"/>
          <w:szCs w:val="20"/>
        </w:rPr>
        <w:t>UE-specific</w:t>
      </w:r>
      <w:r w:rsidRPr="00B37147">
        <w:rPr>
          <w:rFonts w:ascii="Times New Roman" w:eastAsia="宋体" w:hAnsi="Times New Roman"/>
          <w:bCs/>
          <w:i/>
          <w:sz w:val="20"/>
          <w:szCs w:val="20"/>
        </w:rPr>
        <w:t xml:space="preserve"> K_offset</w:t>
      </w:r>
    </w:p>
    <w:p w:rsidR="00161C5F" w:rsidRDefault="00161C5F" w:rsidP="00161C5F">
      <w:pPr>
        <w:pStyle w:val="ad"/>
        <w:spacing w:beforeLines="50" w:before="120" w:afterLines="50" w:after="120" w:line="240" w:lineRule="auto"/>
        <w:ind w:leftChars="200" w:left="440" w:firstLineChars="0" w:firstLine="0"/>
        <w:jc w:val="both"/>
        <w:rPr>
          <w:rFonts w:ascii="Times New Roman" w:eastAsia="宋体" w:hAnsi="Times New Roman"/>
          <w:bCs/>
          <w:i/>
          <w:sz w:val="20"/>
          <w:szCs w:val="20"/>
        </w:rPr>
      </w:pPr>
      <w:r>
        <w:rPr>
          <w:rFonts w:ascii="Times New Roman" w:eastAsia="宋体" w:hAnsi="Times New Roman"/>
          <w:b/>
          <w:i/>
          <w:sz w:val="20"/>
          <w:szCs w:val="20"/>
        </w:rPr>
        <w:t xml:space="preserve">Proposal 3: </w:t>
      </w:r>
      <w:r>
        <w:rPr>
          <w:rFonts w:ascii="Times New Roman" w:eastAsia="宋体" w:hAnsi="Times New Roman"/>
          <w:bCs/>
          <w:i/>
          <w:sz w:val="20"/>
          <w:szCs w:val="20"/>
        </w:rPr>
        <w:t>Capturing following information in the reply LS to RAN2 w.r.t Q</w:t>
      </w:r>
      <w:r w:rsidR="0086074F">
        <w:rPr>
          <w:rFonts w:ascii="Times New Roman" w:eastAsia="宋体" w:hAnsi="Times New Roman"/>
          <w:bCs/>
          <w:i/>
          <w:sz w:val="20"/>
          <w:szCs w:val="20"/>
        </w:rPr>
        <w:t>3</w:t>
      </w:r>
      <w:r>
        <w:rPr>
          <w:rFonts w:ascii="Times New Roman" w:eastAsia="宋体" w:hAnsi="Times New Roman"/>
          <w:bCs/>
          <w:i/>
          <w:sz w:val="20"/>
          <w:szCs w:val="20"/>
        </w:rPr>
        <w:t>:</w:t>
      </w:r>
    </w:p>
    <w:p w:rsidR="00161C5F" w:rsidRDefault="00161C5F" w:rsidP="00161C5F">
      <w:pPr>
        <w:ind w:leftChars="200" w:left="440"/>
        <w:jc w:val="both"/>
        <w:rPr>
          <w:rFonts w:ascii="Times New Roman" w:eastAsia="宋体" w:hAnsi="Times New Roman"/>
          <w:bCs/>
          <w:i/>
          <w:sz w:val="20"/>
          <w:szCs w:val="20"/>
        </w:rPr>
      </w:pPr>
      <w:r>
        <w:rPr>
          <w:rFonts w:ascii="Times New Roman" w:eastAsia="宋体" w:hAnsi="Times New Roman"/>
          <w:bCs/>
          <w:i/>
          <w:sz w:val="20"/>
          <w:szCs w:val="20"/>
        </w:rPr>
        <w:t>From RAN1’s perspective, the full TA value, which will be applied for UL transmission should be reported by UE via following two approaches:</w:t>
      </w:r>
    </w:p>
    <w:p w:rsidR="00161C5F" w:rsidRDefault="00161C5F" w:rsidP="00161C5F">
      <w:pPr>
        <w:pStyle w:val="ad"/>
        <w:numPr>
          <w:ilvl w:val="0"/>
          <w:numId w:val="8"/>
        </w:numPr>
        <w:spacing w:beforeLines="50" w:before="120" w:after="0" w:line="240" w:lineRule="auto"/>
        <w:ind w:firstLineChars="0"/>
        <w:jc w:val="both"/>
        <w:rPr>
          <w:rFonts w:ascii="Times New Roman" w:eastAsia="宋体" w:hAnsi="Times New Roman" w:cs="Times New Roman"/>
          <w:i/>
          <w:sz w:val="20"/>
          <w:szCs w:val="20"/>
        </w:rPr>
      </w:pPr>
      <w:r>
        <w:rPr>
          <w:rFonts w:ascii="Times New Roman" w:eastAsia="宋体" w:hAnsi="Times New Roman"/>
          <w:bCs/>
          <w:i/>
          <w:sz w:val="20"/>
          <w:szCs w:val="20"/>
        </w:rPr>
        <w:t>Msg-A in two-step RACH</w:t>
      </w:r>
    </w:p>
    <w:p w:rsidR="00161C5F" w:rsidRPr="00B37147" w:rsidRDefault="00161C5F" w:rsidP="00161C5F">
      <w:pPr>
        <w:pStyle w:val="ad"/>
        <w:numPr>
          <w:ilvl w:val="0"/>
          <w:numId w:val="8"/>
        </w:numPr>
        <w:spacing w:beforeLines="50" w:before="120" w:after="0" w:line="240" w:lineRule="auto"/>
        <w:ind w:leftChars="200" w:firstLineChars="0"/>
        <w:jc w:val="both"/>
        <w:rPr>
          <w:rFonts w:ascii="Times New Roman" w:eastAsia="宋体" w:hAnsi="Times New Roman"/>
          <w:i/>
          <w:sz w:val="20"/>
          <w:szCs w:val="20"/>
        </w:rPr>
      </w:pPr>
      <w:r>
        <w:rPr>
          <w:rFonts w:ascii="Times New Roman" w:eastAsia="宋体" w:hAnsi="Times New Roman"/>
          <w:bCs/>
          <w:i/>
          <w:sz w:val="20"/>
          <w:szCs w:val="20"/>
        </w:rPr>
        <w:t>Periodically PUSCH</w:t>
      </w:r>
    </w:p>
    <w:p w:rsidR="00141498" w:rsidRDefault="005C3EEC">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rsidR="00141498" w:rsidRDefault="00C22B77">
      <w:pPr>
        <w:pStyle w:val="ListParagraph1"/>
        <w:numPr>
          <w:ilvl w:val="0"/>
          <w:numId w:val="10"/>
        </w:numPr>
        <w:spacing w:after="0" w:line="240" w:lineRule="auto"/>
        <w:ind w:left="505" w:hanging="505"/>
        <w:rPr>
          <w:rFonts w:ascii="Times New Roman" w:hAnsi="Times New Roman"/>
          <w:sz w:val="20"/>
          <w:szCs w:val="20"/>
        </w:rPr>
      </w:pPr>
      <w:bookmarkStart w:id="8" w:name="_Ref40282619"/>
      <w:bookmarkStart w:id="9" w:name="_Ref8445"/>
      <w:r w:rsidRPr="00CA5893">
        <w:rPr>
          <w:rFonts w:ascii="Times New Roman" w:hAnsi="Times New Roman"/>
          <w:sz w:val="20"/>
          <w:szCs w:val="20"/>
        </w:rPr>
        <w:t>R1-2104230</w:t>
      </w:r>
      <w:r w:rsidR="003C735C">
        <w:rPr>
          <w:rFonts w:ascii="Times New Roman" w:hAnsi="Times New Roman"/>
          <w:sz w:val="20"/>
          <w:szCs w:val="20"/>
        </w:rPr>
        <w:t xml:space="preserve"> </w:t>
      </w:r>
      <w:r w:rsidR="005C3EEC">
        <w:rPr>
          <w:rFonts w:ascii="Times New Roman" w:hAnsi="Times New Roman" w:hint="eastAsia"/>
          <w:sz w:val="20"/>
          <w:szCs w:val="20"/>
        </w:rPr>
        <w:t>LS on TA pre-compensation</w:t>
      </w:r>
      <w:bookmarkEnd w:id="8"/>
      <w:bookmarkEnd w:id="9"/>
    </w:p>
    <w:p w:rsidR="00BC0036" w:rsidRDefault="00BC0036">
      <w:pPr>
        <w:pStyle w:val="ListParagraph1"/>
        <w:numPr>
          <w:ilvl w:val="0"/>
          <w:numId w:val="10"/>
        </w:numPr>
        <w:spacing w:after="0" w:line="240" w:lineRule="auto"/>
        <w:ind w:left="505" w:hanging="505"/>
        <w:rPr>
          <w:rFonts w:ascii="Times New Roman" w:hAnsi="Times New Roman"/>
          <w:sz w:val="20"/>
          <w:szCs w:val="20"/>
        </w:rPr>
      </w:pPr>
      <w:bookmarkStart w:id="10" w:name="_Ref71548993"/>
      <w:r>
        <w:rPr>
          <w:rFonts w:ascii="Times New Roman" w:hAnsi="Times New Roman"/>
          <w:sz w:val="20"/>
          <w:szCs w:val="20"/>
        </w:rPr>
        <w:t>Chair’s notes for RAN1#104b-e.</w:t>
      </w:r>
      <w:bookmarkEnd w:id="10"/>
    </w:p>
    <w:p w:rsidR="009D7843" w:rsidRDefault="009D7843" w:rsidP="009D7843">
      <w:pPr>
        <w:pStyle w:val="ListParagraph1"/>
        <w:numPr>
          <w:ilvl w:val="0"/>
          <w:numId w:val="10"/>
        </w:numPr>
        <w:spacing w:after="0" w:line="240" w:lineRule="auto"/>
        <w:ind w:left="505" w:hanging="505"/>
        <w:rPr>
          <w:rFonts w:ascii="Times New Roman" w:hAnsi="Times New Roman"/>
          <w:sz w:val="20"/>
          <w:szCs w:val="20"/>
        </w:rPr>
      </w:pPr>
      <w:bookmarkStart w:id="11" w:name="_Ref71553327"/>
      <w:r>
        <w:rPr>
          <w:rFonts w:ascii="Times New Roman" w:hAnsi="Times New Roman"/>
          <w:sz w:val="20"/>
          <w:szCs w:val="20"/>
        </w:rPr>
        <w:t>R1-2105190</w:t>
      </w:r>
      <w:r w:rsidR="003C735C">
        <w:rPr>
          <w:rFonts w:ascii="Times New Roman" w:hAnsi="Times New Roman"/>
          <w:sz w:val="20"/>
          <w:szCs w:val="20"/>
        </w:rPr>
        <w:t xml:space="preserve"> </w:t>
      </w:r>
      <w:r w:rsidRPr="009D7843">
        <w:rPr>
          <w:rFonts w:ascii="Times New Roman" w:hAnsi="Times New Roman"/>
          <w:sz w:val="20"/>
          <w:szCs w:val="20"/>
        </w:rPr>
        <w:t>Discussion on UL synchronization for NR-NTN</w:t>
      </w:r>
    </w:p>
    <w:bookmarkEnd w:id="11"/>
    <w:p w:rsidR="00141498" w:rsidRDefault="003C735C" w:rsidP="009D7843">
      <w:pPr>
        <w:pStyle w:val="ListParagraph1"/>
        <w:numPr>
          <w:ilvl w:val="0"/>
          <w:numId w:val="10"/>
        </w:numPr>
        <w:spacing w:after="0" w:line="240" w:lineRule="auto"/>
        <w:ind w:left="505" w:hanging="505"/>
        <w:rPr>
          <w:rFonts w:ascii="Times New Roman" w:hAnsi="Times New Roman"/>
          <w:sz w:val="20"/>
          <w:szCs w:val="20"/>
        </w:rPr>
      </w:pPr>
      <w:r w:rsidRPr="0097374F">
        <w:rPr>
          <w:rFonts w:ascii="Times New Roman" w:hAnsi="Times New Roman"/>
          <w:sz w:val="20"/>
          <w:szCs w:val="20"/>
        </w:rPr>
        <w:t xml:space="preserve">R1-2105189 </w:t>
      </w:r>
      <w:r w:rsidR="009D7843" w:rsidRPr="0097374F">
        <w:rPr>
          <w:rFonts w:ascii="Times New Roman" w:hAnsi="Times New Roman"/>
          <w:sz w:val="20"/>
          <w:szCs w:val="20"/>
        </w:rPr>
        <w:t>Discussion on timing relationship for NR-NTN</w:t>
      </w:r>
    </w:p>
    <w:sectPr w:rsidR="0014149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07E2" w:rsidRDefault="001D07E2" w:rsidP="006F3449">
      <w:pPr>
        <w:spacing w:after="0" w:line="240" w:lineRule="auto"/>
      </w:pPr>
      <w:r>
        <w:separator/>
      </w:r>
    </w:p>
  </w:endnote>
  <w:endnote w:type="continuationSeparator" w:id="0">
    <w:p w:rsidR="001D07E2" w:rsidRDefault="001D07E2" w:rsidP="006F34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07E2" w:rsidRDefault="001D07E2" w:rsidP="006F3449">
      <w:pPr>
        <w:spacing w:after="0" w:line="240" w:lineRule="auto"/>
      </w:pPr>
      <w:r>
        <w:separator/>
      </w:r>
    </w:p>
  </w:footnote>
  <w:footnote w:type="continuationSeparator" w:id="0">
    <w:p w:rsidR="001D07E2" w:rsidRDefault="001D07E2" w:rsidP="006F34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7D334CD"/>
    <w:multiLevelType w:val="singleLevel"/>
    <w:tmpl w:val="B7D334CD"/>
    <w:lvl w:ilvl="0">
      <w:start w:val="1"/>
      <w:numFmt w:val="decimal"/>
      <w:lvlText w:val="(%1)"/>
      <w:lvlJc w:val="left"/>
      <w:pPr>
        <w:tabs>
          <w:tab w:val="left" w:pos="420"/>
        </w:tabs>
        <w:ind w:left="845" w:hanging="425"/>
      </w:pPr>
      <w:rPr>
        <w:rFonts w:hint="default"/>
      </w:rPr>
    </w:lvl>
  </w:abstractNum>
  <w:abstractNum w:abstractNumId="1"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30B395C"/>
    <w:multiLevelType w:val="hybridMultilevel"/>
    <w:tmpl w:val="B546ABF8"/>
    <w:lvl w:ilvl="0" w:tplc="03AC1E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0040E18"/>
    <w:multiLevelType w:val="hybridMultilevel"/>
    <w:tmpl w:val="EB522E80"/>
    <w:lvl w:ilvl="0" w:tplc="F23EBE30">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5" w15:restartNumberingAfterBreak="0">
    <w:nsid w:val="406C30F7"/>
    <w:multiLevelType w:val="hybridMultilevel"/>
    <w:tmpl w:val="6D585654"/>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C396493"/>
    <w:multiLevelType w:val="multilevel"/>
    <w:tmpl w:val="4C396493"/>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51A606DD"/>
    <w:multiLevelType w:val="hybridMultilevel"/>
    <w:tmpl w:val="F258BC62"/>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0" w15:restartNumberingAfterBreak="0">
    <w:nsid w:val="5CD3553E"/>
    <w:multiLevelType w:val="hybridMultilevel"/>
    <w:tmpl w:val="5CD4CB0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64782CEA"/>
    <w:multiLevelType w:val="hybridMultilevel"/>
    <w:tmpl w:val="694AAB3C"/>
    <w:lvl w:ilvl="0" w:tplc="20608B46">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2" w15:restartNumberingAfterBreak="0">
    <w:nsid w:val="66B91EA4"/>
    <w:multiLevelType w:val="hybridMultilevel"/>
    <w:tmpl w:val="B8A6458E"/>
    <w:lvl w:ilvl="0" w:tplc="E5603F3E">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3" w15:restartNumberingAfterBreak="0">
    <w:nsid w:val="682B08E8"/>
    <w:multiLevelType w:val="multilevel"/>
    <w:tmpl w:val="682B08E8"/>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14" w15:restartNumberingAfterBreak="0">
    <w:nsid w:val="716F6D2E"/>
    <w:multiLevelType w:val="hybridMultilevel"/>
    <w:tmpl w:val="9DB489E8"/>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5" w15:restartNumberingAfterBreak="0">
    <w:nsid w:val="7CCD0F04"/>
    <w:multiLevelType w:val="multilevel"/>
    <w:tmpl w:val="7CCD0F04"/>
    <w:lvl w:ilvl="0">
      <w:start w:val="1"/>
      <w:numFmt w:val="decimal"/>
      <w:lvlText w:val="%1."/>
      <w:lvlJc w:val="left"/>
      <w:pPr>
        <w:ind w:left="1160" w:hanging="360"/>
      </w:pPr>
      <w:rPr>
        <w:rFonts w:hint="default"/>
      </w:rPr>
    </w:lvl>
    <w:lvl w:ilvl="1">
      <w:start w:val="1"/>
      <w:numFmt w:val="lowerLetter"/>
      <w:lvlText w:val="%2)"/>
      <w:lvlJc w:val="left"/>
      <w:pPr>
        <w:ind w:left="1640" w:hanging="420"/>
      </w:pPr>
    </w:lvl>
    <w:lvl w:ilvl="2">
      <w:start w:val="1"/>
      <w:numFmt w:val="lowerRoman"/>
      <w:lvlText w:val="%3."/>
      <w:lvlJc w:val="right"/>
      <w:pPr>
        <w:ind w:left="2060" w:hanging="420"/>
      </w:pPr>
    </w:lvl>
    <w:lvl w:ilvl="3">
      <w:start w:val="1"/>
      <w:numFmt w:val="decimal"/>
      <w:lvlText w:val="%4."/>
      <w:lvlJc w:val="left"/>
      <w:pPr>
        <w:ind w:left="2480" w:hanging="420"/>
      </w:pPr>
    </w:lvl>
    <w:lvl w:ilvl="4">
      <w:start w:val="1"/>
      <w:numFmt w:val="lowerLetter"/>
      <w:lvlText w:val="%5)"/>
      <w:lvlJc w:val="left"/>
      <w:pPr>
        <w:ind w:left="2900" w:hanging="420"/>
      </w:pPr>
    </w:lvl>
    <w:lvl w:ilvl="5">
      <w:start w:val="1"/>
      <w:numFmt w:val="lowerRoman"/>
      <w:lvlText w:val="%6."/>
      <w:lvlJc w:val="right"/>
      <w:pPr>
        <w:ind w:left="3320" w:hanging="420"/>
      </w:pPr>
    </w:lvl>
    <w:lvl w:ilvl="6">
      <w:start w:val="1"/>
      <w:numFmt w:val="decimal"/>
      <w:lvlText w:val="%7."/>
      <w:lvlJc w:val="left"/>
      <w:pPr>
        <w:ind w:left="3740" w:hanging="420"/>
      </w:pPr>
    </w:lvl>
    <w:lvl w:ilvl="7">
      <w:start w:val="1"/>
      <w:numFmt w:val="lowerLetter"/>
      <w:lvlText w:val="%8)"/>
      <w:lvlJc w:val="left"/>
      <w:pPr>
        <w:ind w:left="4160" w:hanging="420"/>
      </w:pPr>
    </w:lvl>
    <w:lvl w:ilvl="8">
      <w:start w:val="1"/>
      <w:numFmt w:val="lowerRoman"/>
      <w:lvlText w:val="%9."/>
      <w:lvlJc w:val="right"/>
      <w:pPr>
        <w:ind w:left="4580" w:hanging="42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5"/>
  </w:num>
  <w:num w:numId="8">
    <w:abstractNumId w:val="13"/>
  </w:num>
  <w:num w:numId="9">
    <w:abstractNumId w:val="8"/>
  </w:num>
  <w:num w:numId="10">
    <w:abstractNumId w:val="6"/>
  </w:num>
  <w:num w:numId="11">
    <w:abstractNumId w:val="1"/>
  </w:num>
  <w:num w:numId="12">
    <w:abstractNumId w:val="1"/>
  </w:num>
  <w:num w:numId="13">
    <w:abstractNumId w:val="1"/>
  </w:num>
  <w:num w:numId="14">
    <w:abstractNumId w:val="1"/>
  </w:num>
  <w:num w:numId="15">
    <w:abstractNumId w:val="1"/>
  </w:num>
  <w:num w:numId="16">
    <w:abstractNumId w:val="11"/>
  </w:num>
  <w:num w:numId="17">
    <w:abstractNumId w:val="12"/>
  </w:num>
  <w:num w:numId="18">
    <w:abstractNumId w:val="14"/>
  </w:num>
  <w:num w:numId="19">
    <w:abstractNumId w:val="9"/>
  </w:num>
  <w:num w:numId="20">
    <w:abstractNumId w:val="5"/>
  </w:num>
  <w:num w:numId="21">
    <w:abstractNumId w:val="10"/>
  </w:num>
  <w:num w:numId="22">
    <w:abstractNumId w:val="4"/>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ADE"/>
    <w:rsid w:val="0000112A"/>
    <w:rsid w:val="000019DE"/>
    <w:rsid w:val="00002327"/>
    <w:rsid w:val="00002418"/>
    <w:rsid w:val="000046F5"/>
    <w:rsid w:val="00004E03"/>
    <w:rsid w:val="00004E88"/>
    <w:rsid w:val="00005B14"/>
    <w:rsid w:val="000076AC"/>
    <w:rsid w:val="0000773C"/>
    <w:rsid w:val="00010179"/>
    <w:rsid w:val="00015039"/>
    <w:rsid w:val="00015132"/>
    <w:rsid w:val="00021434"/>
    <w:rsid w:val="00021AAE"/>
    <w:rsid w:val="00022E51"/>
    <w:rsid w:val="00022EDE"/>
    <w:rsid w:val="0002404A"/>
    <w:rsid w:val="000255C7"/>
    <w:rsid w:val="00026E46"/>
    <w:rsid w:val="000305EC"/>
    <w:rsid w:val="00031F57"/>
    <w:rsid w:val="0003439E"/>
    <w:rsid w:val="00036AFC"/>
    <w:rsid w:val="00040044"/>
    <w:rsid w:val="0004019D"/>
    <w:rsid w:val="00041A65"/>
    <w:rsid w:val="00042798"/>
    <w:rsid w:val="000438E0"/>
    <w:rsid w:val="00043AF2"/>
    <w:rsid w:val="00044F8D"/>
    <w:rsid w:val="00046E70"/>
    <w:rsid w:val="00046EC1"/>
    <w:rsid w:val="00052ACC"/>
    <w:rsid w:val="0005360E"/>
    <w:rsid w:val="00053670"/>
    <w:rsid w:val="00054B9E"/>
    <w:rsid w:val="0005556D"/>
    <w:rsid w:val="00055DCC"/>
    <w:rsid w:val="0005679C"/>
    <w:rsid w:val="0005706E"/>
    <w:rsid w:val="000600A4"/>
    <w:rsid w:val="000630EA"/>
    <w:rsid w:val="00063D6A"/>
    <w:rsid w:val="0006445C"/>
    <w:rsid w:val="00064C14"/>
    <w:rsid w:val="00066E94"/>
    <w:rsid w:val="00067072"/>
    <w:rsid w:val="000707AD"/>
    <w:rsid w:val="00074CEC"/>
    <w:rsid w:val="000771C3"/>
    <w:rsid w:val="00081218"/>
    <w:rsid w:val="00082E56"/>
    <w:rsid w:val="00085425"/>
    <w:rsid w:val="0008799A"/>
    <w:rsid w:val="0009076A"/>
    <w:rsid w:val="00091DB0"/>
    <w:rsid w:val="000929D3"/>
    <w:rsid w:val="0009612B"/>
    <w:rsid w:val="00096412"/>
    <w:rsid w:val="00096975"/>
    <w:rsid w:val="00097080"/>
    <w:rsid w:val="00097C29"/>
    <w:rsid w:val="000A0C3E"/>
    <w:rsid w:val="000A0C91"/>
    <w:rsid w:val="000A2896"/>
    <w:rsid w:val="000A57E6"/>
    <w:rsid w:val="000A5D0C"/>
    <w:rsid w:val="000A6607"/>
    <w:rsid w:val="000A6F26"/>
    <w:rsid w:val="000B345B"/>
    <w:rsid w:val="000B512D"/>
    <w:rsid w:val="000B6824"/>
    <w:rsid w:val="000C0612"/>
    <w:rsid w:val="000C1944"/>
    <w:rsid w:val="000C216B"/>
    <w:rsid w:val="000C3A22"/>
    <w:rsid w:val="000C46C1"/>
    <w:rsid w:val="000C4C4D"/>
    <w:rsid w:val="000C5487"/>
    <w:rsid w:val="000C600C"/>
    <w:rsid w:val="000C6104"/>
    <w:rsid w:val="000C6CD2"/>
    <w:rsid w:val="000D24E2"/>
    <w:rsid w:val="000D2FFB"/>
    <w:rsid w:val="000D35D7"/>
    <w:rsid w:val="000D43F4"/>
    <w:rsid w:val="000D5861"/>
    <w:rsid w:val="000D598F"/>
    <w:rsid w:val="000E4EF8"/>
    <w:rsid w:val="000E50B9"/>
    <w:rsid w:val="000E5209"/>
    <w:rsid w:val="000E6592"/>
    <w:rsid w:val="000E65C2"/>
    <w:rsid w:val="000E7075"/>
    <w:rsid w:val="000F22A0"/>
    <w:rsid w:val="000F2DCC"/>
    <w:rsid w:val="000F4FB7"/>
    <w:rsid w:val="000F504F"/>
    <w:rsid w:val="000F51C0"/>
    <w:rsid w:val="000F58D7"/>
    <w:rsid w:val="000F7322"/>
    <w:rsid w:val="000F785C"/>
    <w:rsid w:val="000F7F6B"/>
    <w:rsid w:val="00102955"/>
    <w:rsid w:val="001030E2"/>
    <w:rsid w:val="00103ADE"/>
    <w:rsid w:val="001042A2"/>
    <w:rsid w:val="001053A6"/>
    <w:rsid w:val="001140B1"/>
    <w:rsid w:val="0011457F"/>
    <w:rsid w:val="001164E7"/>
    <w:rsid w:val="001175A0"/>
    <w:rsid w:val="0011771D"/>
    <w:rsid w:val="00117825"/>
    <w:rsid w:val="00117C84"/>
    <w:rsid w:val="00120E8A"/>
    <w:rsid w:val="0012343B"/>
    <w:rsid w:val="00123A6A"/>
    <w:rsid w:val="001277FA"/>
    <w:rsid w:val="00127950"/>
    <w:rsid w:val="00130DB6"/>
    <w:rsid w:val="0013220A"/>
    <w:rsid w:val="001334A7"/>
    <w:rsid w:val="001366F7"/>
    <w:rsid w:val="001369F6"/>
    <w:rsid w:val="001401D1"/>
    <w:rsid w:val="00140AE4"/>
    <w:rsid w:val="0014136C"/>
    <w:rsid w:val="00141498"/>
    <w:rsid w:val="0014315C"/>
    <w:rsid w:val="001447C9"/>
    <w:rsid w:val="001455B4"/>
    <w:rsid w:val="00145BE8"/>
    <w:rsid w:val="00152B82"/>
    <w:rsid w:val="00152E17"/>
    <w:rsid w:val="00153DF2"/>
    <w:rsid w:val="00153DFD"/>
    <w:rsid w:val="00153EA6"/>
    <w:rsid w:val="00157411"/>
    <w:rsid w:val="00161C5F"/>
    <w:rsid w:val="00163958"/>
    <w:rsid w:val="00163C43"/>
    <w:rsid w:val="00163E3A"/>
    <w:rsid w:val="001645E4"/>
    <w:rsid w:val="00164C6C"/>
    <w:rsid w:val="00165036"/>
    <w:rsid w:val="001660D8"/>
    <w:rsid w:val="00166848"/>
    <w:rsid w:val="00166EF0"/>
    <w:rsid w:val="00167C34"/>
    <w:rsid w:val="00170CD6"/>
    <w:rsid w:val="0017178D"/>
    <w:rsid w:val="00173624"/>
    <w:rsid w:val="00174EE5"/>
    <w:rsid w:val="00176371"/>
    <w:rsid w:val="00176496"/>
    <w:rsid w:val="001767AB"/>
    <w:rsid w:val="00176CE4"/>
    <w:rsid w:val="00177052"/>
    <w:rsid w:val="00180304"/>
    <w:rsid w:val="00183086"/>
    <w:rsid w:val="0018415A"/>
    <w:rsid w:val="00185634"/>
    <w:rsid w:val="0019297F"/>
    <w:rsid w:val="00194A42"/>
    <w:rsid w:val="001964C6"/>
    <w:rsid w:val="00196E29"/>
    <w:rsid w:val="001A040E"/>
    <w:rsid w:val="001A27EA"/>
    <w:rsid w:val="001A4762"/>
    <w:rsid w:val="001A585E"/>
    <w:rsid w:val="001A671C"/>
    <w:rsid w:val="001A74B5"/>
    <w:rsid w:val="001B0350"/>
    <w:rsid w:val="001B1525"/>
    <w:rsid w:val="001B61CA"/>
    <w:rsid w:val="001C1612"/>
    <w:rsid w:val="001C3113"/>
    <w:rsid w:val="001C34AE"/>
    <w:rsid w:val="001C4B12"/>
    <w:rsid w:val="001C53EA"/>
    <w:rsid w:val="001D07E2"/>
    <w:rsid w:val="001D0BE9"/>
    <w:rsid w:val="001D308C"/>
    <w:rsid w:val="001D3FCD"/>
    <w:rsid w:val="001D4C5A"/>
    <w:rsid w:val="001D59E7"/>
    <w:rsid w:val="001D7DDA"/>
    <w:rsid w:val="001E130B"/>
    <w:rsid w:val="001E2099"/>
    <w:rsid w:val="001E275B"/>
    <w:rsid w:val="001E27E0"/>
    <w:rsid w:val="001E3616"/>
    <w:rsid w:val="001E3C31"/>
    <w:rsid w:val="001F080B"/>
    <w:rsid w:val="001F42FD"/>
    <w:rsid w:val="001F532D"/>
    <w:rsid w:val="001F6735"/>
    <w:rsid w:val="001F73F8"/>
    <w:rsid w:val="001F7E2A"/>
    <w:rsid w:val="0020127D"/>
    <w:rsid w:val="00202971"/>
    <w:rsid w:val="00205322"/>
    <w:rsid w:val="00206259"/>
    <w:rsid w:val="00211192"/>
    <w:rsid w:val="002150C0"/>
    <w:rsid w:val="00215B4B"/>
    <w:rsid w:val="00215C0C"/>
    <w:rsid w:val="00217CD0"/>
    <w:rsid w:val="00220F13"/>
    <w:rsid w:val="00222B41"/>
    <w:rsid w:val="002239D1"/>
    <w:rsid w:val="002239E2"/>
    <w:rsid w:val="002260BF"/>
    <w:rsid w:val="002277AA"/>
    <w:rsid w:val="00227B9F"/>
    <w:rsid w:val="002300DA"/>
    <w:rsid w:val="00230E2F"/>
    <w:rsid w:val="002337F7"/>
    <w:rsid w:val="00234FE9"/>
    <w:rsid w:val="0024089A"/>
    <w:rsid w:val="00241E81"/>
    <w:rsid w:val="00242177"/>
    <w:rsid w:val="0024761D"/>
    <w:rsid w:val="002509D8"/>
    <w:rsid w:val="002519C7"/>
    <w:rsid w:val="00253B31"/>
    <w:rsid w:val="00255D8E"/>
    <w:rsid w:val="00261495"/>
    <w:rsid w:val="002617C9"/>
    <w:rsid w:val="002628A3"/>
    <w:rsid w:val="00263CF8"/>
    <w:rsid w:val="00266010"/>
    <w:rsid w:val="002662CE"/>
    <w:rsid w:val="00272F96"/>
    <w:rsid w:val="002733D4"/>
    <w:rsid w:val="0027491E"/>
    <w:rsid w:val="002749B2"/>
    <w:rsid w:val="00276FF6"/>
    <w:rsid w:val="002804CA"/>
    <w:rsid w:val="00282A69"/>
    <w:rsid w:val="00282B5B"/>
    <w:rsid w:val="002863A3"/>
    <w:rsid w:val="00286A1A"/>
    <w:rsid w:val="002901AB"/>
    <w:rsid w:val="00290412"/>
    <w:rsid w:val="00291D82"/>
    <w:rsid w:val="002924F9"/>
    <w:rsid w:val="0029575D"/>
    <w:rsid w:val="002A03BF"/>
    <w:rsid w:val="002A3174"/>
    <w:rsid w:val="002A40A7"/>
    <w:rsid w:val="002A431F"/>
    <w:rsid w:val="002A5D5E"/>
    <w:rsid w:val="002A5DBB"/>
    <w:rsid w:val="002A7E58"/>
    <w:rsid w:val="002A7FB3"/>
    <w:rsid w:val="002B15AC"/>
    <w:rsid w:val="002B1AEC"/>
    <w:rsid w:val="002B3F53"/>
    <w:rsid w:val="002B4341"/>
    <w:rsid w:val="002B5408"/>
    <w:rsid w:val="002B6229"/>
    <w:rsid w:val="002C36C2"/>
    <w:rsid w:val="002C37D5"/>
    <w:rsid w:val="002C4016"/>
    <w:rsid w:val="002C5BB8"/>
    <w:rsid w:val="002C5C2D"/>
    <w:rsid w:val="002C636A"/>
    <w:rsid w:val="002C7437"/>
    <w:rsid w:val="002D109F"/>
    <w:rsid w:val="002D35C9"/>
    <w:rsid w:val="002D3617"/>
    <w:rsid w:val="002D3E6A"/>
    <w:rsid w:val="002D4F8A"/>
    <w:rsid w:val="002D74A4"/>
    <w:rsid w:val="002E0B56"/>
    <w:rsid w:val="002E2D9B"/>
    <w:rsid w:val="002E5475"/>
    <w:rsid w:val="002E5A0C"/>
    <w:rsid w:val="002E5F90"/>
    <w:rsid w:val="002E637E"/>
    <w:rsid w:val="002E6858"/>
    <w:rsid w:val="002E7A21"/>
    <w:rsid w:val="002E7D93"/>
    <w:rsid w:val="002E7F8A"/>
    <w:rsid w:val="002E7F97"/>
    <w:rsid w:val="002F0209"/>
    <w:rsid w:val="002F16C4"/>
    <w:rsid w:val="002F2A52"/>
    <w:rsid w:val="002F37E8"/>
    <w:rsid w:val="002F65FD"/>
    <w:rsid w:val="002F67A2"/>
    <w:rsid w:val="002F67ED"/>
    <w:rsid w:val="002F7433"/>
    <w:rsid w:val="00300887"/>
    <w:rsid w:val="00300BD1"/>
    <w:rsid w:val="00301393"/>
    <w:rsid w:val="00301BE4"/>
    <w:rsid w:val="00301C35"/>
    <w:rsid w:val="003020ED"/>
    <w:rsid w:val="0030330F"/>
    <w:rsid w:val="00303EF0"/>
    <w:rsid w:val="00304BDE"/>
    <w:rsid w:val="00305602"/>
    <w:rsid w:val="00305DE0"/>
    <w:rsid w:val="0030727E"/>
    <w:rsid w:val="00313773"/>
    <w:rsid w:val="00313AD9"/>
    <w:rsid w:val="00313D16"/>
    <w:rsid w:val="00314809"/>
    <w:rsid w:val="00315066"/>
    <w:rsid w:val="00315C20"/>
    <w:rsid w:val="00317C7F"/>
    <w:rsid w:val="00320CAE"/>
    <w:rsid w:val="00322CF7"/>
    <w:rsid w:val="003276E2"/>
    <w:rsid w:val="00331622"/>
    <w:rsid w:val="003317E3"/>
    <w:rsid w:val="0033281C"/>
    <w:rsid w:val="00332D42"/>
    <w:rsid w:val="00333D5B"/>
    <w:rsid w:val="00334734"/>
    <w:rsid w:val="00334DC2"/>
    <w:rsid w:val="0033576B"/>
    <w:rsid w:val="003405B7"/>
    <w:rsid w:val="003409CF"/>
    <w:rsid w:val="00340F85"/>
    <w:rsid w:val="00343B5D"/>
    <w:rsid w:val="00345078"/>
    <w:rsid w:val="0034553B"/>
    <w:rsid w:val="00345FE9"/>
    <w:rsid w:val="003503C4"/>
    <w:rsid w:val="00350FBC"/>
    <w:rsid w:val="00351908"/>
    <w:rsid w:val="0035204B"/>
    <w:rsid w:val="00352086"/>
    <w:rsid w:val="003529BD"/>
    <w:rsid w:val="003557F6"/>
    <w:rsid w:val="003627EF"/>
    <w:rsid w:val="003634E2"/>
    <w:rsid w:val="00363A78"/>
    <w:rsid w:val="003643F8"/>
    <w:rsid w:val="00366F67"/>
    <w:rsid w:val="0037065F"/>
    <w:rsid w:val="003720D1"/>
    <w:rsid w:val="0037258D"/>
    <w:rsid w:val="0037266D"/>
    <w:rsid w:val="00375C1F"/>
    <w:rsid w:val="00380AE0"/>
    <w:rsid w:val="003813C9"/>
    <w:rsid w:val="003821A4"/>
    <w:rsid w:val="00384A17"/>
    <w:rsid w:val="003851CA"/>
    <w:rsid w:val="0038541D"/>
    <w:rsid w:val="00387508"/>
    <w:rsid w:val="00391906"/>
    <w:rsid w:val="0039193E"/>
    <w:rsid w:val="00391AC5"/>
    <w:rsid w:val="003933F1"/>
    <w:rsid w:val="00395C77"/>
    <w:rsid w:val="00396782"/>
    <w:rsid w:val="00396A19"/>
    <w:rsid w:val="00396D4B"/>
    <w:rsid w:val="00396FEB"/>
    <w:rsid w:val="003A0AD5"/>
    <w:rsid w:val="003A0F24"/>
    <w:rsid w:val="003A11F6"/>
    <w:rsid w:val="003A1352"/>
    <w:rsid w:val="003A1EED"/>
    <w:rsid w:val="003A2742"/>
    <w:rsid w:val="003A2EE6"/>
    <w:rsid w:val="003A3310"/>
    <w:rsid w:val="003A420A"/>
    <w:rsid w:val="003A519F"/>
    <w:rsid w:val="003A6927"/>
    <w:rsid w:val="003A6F46"/>
    <w:rsid w:val="003B1113"/>
    <w:rsid w:val="003B1C09"/>
    <w:rsid w:val="003B3197"/>
    <w:rsid w:val="003B47ED"/>
    <w:rsid w:val="003B5BAE"/>
    <w:rsid w:val="003C193E"/>
    <w:rsid w:val="003C54CC"/>
    <w:rsid w:val="003C562C"/>
    <w:rsid w:val="003C6911"/>
    <w:rsid w:val="003C735C"/>
    <w:rsid w:val="003C7925"/>
    <w:rsid w:val="003D0C02"/>
    <w:rsid w:val="003D471D"/>
    <w:rsid w:val="003D645F"/>
    <w:rsid w:val="003E10DC"/>
    <w:rsid w:val="003E21E9"/>
    <w:rsid w:val="003E239D"/>
    <w:rsid w:val="003E4FCA"/>
    <w:rsid w:val="003E4FD3"/>
    <w:rsid w:val="003F097C"/>
    <w:rsid w:val="003F16AA"/>
    <w:rsid w:val="003F2293"/>
    <w:rsid w:val="003F4AB7"/>
    <w:rsid w:val="003F5347"/>
    <w:rsid w:val="003F7954"/>
    <w:rsid w:val="00402656"/>
    <w:rsid w:val="00406247"/>
    <w:rsid w:val="00406E9B"/>
    <w:rsid w:val="00407685"/>
    <w:rsid w:val="00407B1E"/>
    <w:rsid w:val="0041043C"/>
    <w:rsid w:val="00416785"/>
    <w:rsid w:val="0041746D"/>
    <w:rsid w:val="00417601"/>
    <w:rsid w:val="00417A84"/>
    <w:rsid w:val="00420D73"/>
    <w:rsid w:val="00422186"/>
    <w:rsid w:val="0042521E"/>
    <w:rsid w:val="0042651B"/>
    <w:rsid w:val="004301DE"/>
    <w:rsid w:val="0043065A"/>
    <w:rsid w:val="004318CA"/>
    <w:rsid w:val="00431B46"/>
    <w:rsid w:val="00431D3C"/>
    <w:rsid w:val="00433F20"/>
    <w:rsid w:val="00436FE4"/>
    <w:rsid w:val="0044070C"/>
    <w:rsid w:val="004408D1"/>
    <w:rsid w:val="004428DE"/>
    <w:rsid w:val="00444241"/>
    <w:rsid w:val="0044553B"/>
    <w:rsid w:val="0044653C"/>
    <w:rsid w:val="00446894"/>
    <w:rsid w:val="0044698D"/>
    <w:rsid w:val="00446BAA"/>
    <w:rsid w:val="00446F38"/>
    <w:rsid w:val="004508B8"/>
    <w:rsid w:val="00451DFB"/>
    <w:rsid w:val="0045228D"/>
    <w:rsid w:val="00452D85"/>
    <w:rsid w:val="00453286"/>
    <w:rsid w:val="00453D6C"/>
    <w:rsid w:val="00454AF2"/>
    <w:rsid w:val="004559D0"/>
    <w:rsid w:val="00456C5B"/>
    <w:rsid w:val="0045733E"/>
    <w:rsid w:val="004573FA"/>
    <w:rsid w:val="00463942"/>
    <w:rsid w:val="00464E35"/>
    <w:rsid w:val="004654BC"/>
    <w:rsid w:val="004654CB"/>
    <w:rsid w:val="00466B93"/>
    <w:rsid w:val="004702C2"/>
    <w:rsid w:val="004729EF"/>
    <w:rsid w:val="004731FE"/>
    <w:rsid w:val="00476B4B"/>
    <w:rsid w:val="0048145B"/>
    <w:rsid w:val="00481B43"/>
    <w:rsid w:val="0048347E"/>
    <w:rsid w:val="00484022"/>
    <w:rsid w:val="0048570C"/>
    <w:rsid w:val="00486487"/>
    <w:rsid w:val="0048653D"/>
    <w:rsid w:val="0048763A"/>
    <w:rsid w:val="00490561"/>
    <w:rsid w:val="00492181"/>
    <w:rsid w:val="00492CAD"/>
    <w:rsid w:val="004945B1"/>
    <w:rsid w:val="00494A92"/>
    <w:rsid w:val="00495944"/>
    <w:rsid w:val="00495A57"/>
    <w:rsid w:val="00496247"/>
    <w:rsid w:val="004A006D"/>
    <w:rsid w:val="004A15E7"/>
    <w:rsid w:val="004A5C0E"/>
    <w:rsid w:val="004A6BE0"/>
    <w:rsid w:val="004A7965"/>
    <w:rsid w:val="004B05AC"/>
    <w:rsid w:val="004B27B7"/>
    <w:rsid w:val="004B37BB"/>
    <w:rsid w:val="004B5F93"/>
    <w:rsid w:val="004B6616"/>
    <w:rsid w:val="004B7DA7"/>
    <w:rsid w:val="004C047C"/>
    <w:rsid w:val="004C1572"/>
    <w:rsid w:val="004C32AB"/>
    <w:rsid w:val="004C35CF"/>
    <w:rsid w:val="004D4385"/>
    <w:rsid w:val="004D578F"/>
    <w:rsid w:val="004D58FF"/>
    <w:rsid w:val="004D59E5"/>
    <w:rsid w:val="004D76CF"/>
    <w:rsid w:val="004E0E27"/>
    <w:rsid w:val="004E26D6"/>
    <w:rsid w:val="004E30CB"/>
    <w:rsid w:val="004E3388"/>
    <w:rsid w:val="004E5051"/>
    <w:rsid w:val="004E5664"/>
    <w:rsid w:val="004E6534"/>
    <w:rsid w:val="004E7C87"/>
    <w:rsid w:val="004F004C"/>
    <w:rsid w:val="004F09C8"/>
    <w:rsid w:val="004F2E33"/>
    <w:rsid w:val="004F30B1"/>
    <w:rsid w:val="004F47F5"/>
    <w:rsid w:val="004F7230"/>
    <w:rsid w:val="00500B0A"/>
    <w:rsid w:val="0050203F"/>
    <w:rsid w:val="00503202"/>
    <w:rsid w:val="00504167"/>
    <w:rsid w:val="00504641"/>
    <w:rsid w:val="0050481A"/>
    <w:rsid w:val="0051054E"/>
    <w:rsid w:val="00510938"/>
    <w:rsid w:val="00513789"/>
    <w:rsid w:val="00514A5F"/>
    <w:rsid w:val="0051511D"/>
    <w:rsid w:val="0051721B"/>
    <w:rsid w:val="00520474"/>
    <w:rsid w:val="005245D8"/>
    <w:rsid w:val="0052543C"/>
    <w:rsid w:val="00525D0D"/>
    <w:rsid w:val="00527981"/>
    <w:rsid w:val="00531476"/>
    <w:rsid w:val="00531951"/>
    <w:rsid w:val="00532BE2"/>
    <w:rsid w:val="00533E6F"/>
    <w:rsid w:val="00536865"/>
    <w:rsid w:val="00541AC2"/>
    <w:rsid w:val="00542F50"/>
    <w:rsid w:val="0054377D"/>
    <w:rsid w:val="005439BB"/>
    <w:rsid w:val="00544E58"/>
    <w:rsid w:val="00546AA2"/>
    <w:rsid w:val="00547EED"/>
    <w:rsid w:val="00550032"/>
    <w:rsid w:val="0055515C"/>
    <w:rsid w:val="00555635"/>
    <w:rsid w:val="0055771C"/>
    <w:rsid w:val="00557DF7"/>
    <w:rsid w:val="00560112"/>
    <w:rsid w:val="0056072D"/>
    <w:rsid w:val="00561353"/>
    <w:rsid w:val="0056261E"/>
    <w:rsid w:val="005631E5"/>
    <w:rsid w:val="005707D7"/>
    <w:rsid w:val="00572450"/>
    <w:rsid w:val="00572794"/>
    <w:rsid w:val="005776B3"/>
    <w:rsid w:val="00577B25"/>
    <w:rsid w:val="00577FA3"/>
    <w:rsid w:val="005800AE"/>
    <w:rsid w:val="005818F2"/>
    <w:rsid w:val="0058467B"/>
    <w:rsid w:val="00584754"/>
    <w:rsid w:val="005847B4"/>
    <w:rsid w:val="00587B31"/>
    <w:rsid w:val="00591874"/>
    <w:rsid w:val="00591995"/>
    <w:rsid w:val="00591A9A"/>
    <w:rsid w:val="00591AFC"/>
    <w:rsid w:val="00593A13"/>
    <w:rsid w:val="005942C9"/>
    <w:rsid w:val="00594C6B"/>
    <w:rsid w:val="00595FF1"/>
    <w:rsid w:val="0059699B"/>
    <w:rsid w:val="00596B55"/>
    <w:rsid w:val="005A50F5"/>
    <w:rsid w:val="005A6441"/>
    <w:rsid w:val="005A6487"/>
    <w:rsid w:val="005A65FF"/>
    <w:rsid w:val="005B0A1B"/>
    <w:rsid w:val="005B0FF6"/>
    <w:rsid w:val="005B136F"/>
    <w:rsid w:val="005B262F"/>
    <w:rsid w:val="005B4101"/>
    <w:rsid w:val="005B4921"/>
    <w:rsid w:val="005B4E40"/>
    <w:rsid w:val="005B55FD"/>
    <w:rsid w:val="005B7EB5"/>
    <w:rsid w:val="005C07D3"/>
    <w:rsid w:val="005C1775"/>
    <w:rsid w:val="005C25C8"/>
    <w:rsid w:val="005C39A8"/>
    <w:rsid w:val="005C3EEC"/>
    <w:rsid w:val="005C5ADE"/>
    <w:rsid w:val="005C5C1D"/>
    <w:rsid w:val="005C6038"/>
    <w:rsid w:val="005C611C"/>
    <w:rsid w:val="005C7591"/>
    <w:rsid w:val="005C7BD4"/>
    <w:rsid w:val="005D0855"/>
    <w:rsid w:val="005D0FDD"/>
    <w:rsid w:val="005D13C0"/>
    <w:rsid w:val="005E0A93"/>
    <w:rsid w:val="005E0E1D"/>
    <w:rsid w:val="005E247B"/>
    <w:rsid w:val="005E4CFC"/>
    <w:rsid w:val="005E567C"/>
    <w:rsid w:val="005E5A35"/>
    <w:rsid w:val="005F1C4C"/>
    <w:rsid w:val="005F347D"/>
    <w:rsid w:val="005F4060"/>
    <w:rsid w:val="005F5FD1"/>
    <w:rsid w:val="005F6497"/>
    <w:rsid w:val="005F6A35"/>
    <w:rsid w:val="00600C3B"/>
    <w:rsid w:val="006023E9"/>
    <w:rsid w:val="00604BE0"/>
    <w:rsid w:val="00604ED7"/>
    <w:rsid w:val="00605C52"/>
    <w:rsid w:val="006060F9"/>
    <w:rsid w:val="006069F4"/>
    <w:rsid w:val="006075F1"/>
    <w:rsid w:val="00610C89"/>
    <w:rsid w:val="00611BF1"/>
    <w:rsid w:val="0061579B"/>
    <w:rsid w:val="00615A41"/>
    <w:rsid w:val="00615F56"/>
    <w:rsid w:val="00617A40"/>
    <w:rsid w:val="00617E3E"/>
    <w:rsid w:val="0062089C"/>
    <w:rsid w:val="006209D1"/>
    <w:rsid w:val="00620E03"/>
    <w:rsid w:val="00621317"/>
    <w:rsid w:val="006230D7"/>
    <w:rsid w:val="0062327B"/>
    <w:rsid w:val="00623636"/>
    <w:rsid w:val="00625539"/>
    <w:rsid w:val="0062743C"/>
    <w:rsid w:val="006309DB"/>
    <w:rsid w:val="00631E9B"/>
    <w:rsid w:val="00632335"/>
    <w:rsid w:val="00632354"/>
    <w:rsid w:val="006336DA"/>
    <w:rsid w:val="00633ED2"/>
    <w:rsid w:val="00634BD9"/>
    <w:rsid w:val="00634D66"/>
    <w:rsid w:val="006361FB"/>
    <w:rsid w:val="006401AA"/>
    <w:rsid w:val="00640FA0"/>
    <w:rsid w:val="006424C6"/>
    <w:rsid w:val="00642581"/>
    <w:rsid w:val="0064570B"/>
    <w:rsid w:val="00646900"/>
    <w:rsid w:val="0065067B"/>
    <w:rsid w:val="006527BC"/>
    <w:rsid w:val="006535CC"/>
    <w:rsid w:val="00653D64"/>
    <w:rsid w:val="0065408D"/>
    <w:rsid w:val="006555CE"/>
    <w:rsid w:val="0065614D"/>
    <w:rsid w:val="006570C0"/>
    <w:rsid w:val="00657778"/>
    <w:rsid w:val="00657F99"/>
    <w:rsid w:val="006608EA"/>
    <w:rsid w:val="00661B5D"/>
    <w:rsid w:val="00664290"/>
    <w:rsid w:val="006651B0"/>
    <w:rsid w:val="006652A5"/>
    <w:rsid w:val="006679C0"/>
    <w:rsid w:val="0067386F"/>
    <w:rsid w:val="00673B49"/>
    <w:rsid w:val="00675B3E"/>
    <w:rsid w:val="00675E96"/>
    <w:rsid w:val="0067692D"/>
    <w:rsid w:val="00676E47"/>
    <w:rsid w:val="0067706A"/>
    <w:rsid w:val="00680759"/>
    <w:rsid w:val="00681096"/>
    <w:rsid w:val="00682298"/>
    <w:rsid w:val="0068392E"/>
    <w:rsid w:val="0068550A"/>
    <w:rsid w:val="00686566"/>
    <w:rsid w:val="0068710D"/>
    <w:rsid w:val="006942DE"/>
    <w:rsid w:val="00695773"/>
    <w:rsid w:val="006959F4"/>
    <w:rsid w:val="00695F4B"/>
    <w:rsid w:val="00696055"/>
    <w:rsid w:val="00696C4B"/>
    <w:rsid w:val="006A2144"/>
    <w:rsid w:val="006A5005"/>
    <w:rsid w:val="006A770B"/>
    <w:rsid w:val="006A78AB"/>
    <w:rsid w:val="006B11B9"/>
    <w:rsid w:val="006B2BFD"/>
    <w:rsid w:val="006B2F59"/>
    <w:rsid w:val="006B3157"/>
    <w:rsid w:val="006B3E7B"/>
    <w:rsid w:val="006B44DE"/>
    <w:rsid w:val="006B68A9"/>
    <w:rsid w:val="006B68BB"/>
    <w:rsid w:val="006C2AFB"/>
    <w:rsid w:val="006C5BED"/>
    <w:rsid w:val="006C63FA"/>
    <w:rsid w:val="006C79CC"/>
    <w:rsid w:val="006C7C94"/>
    <w:rsid w:val="006D02E7"/>
    <w:rsid w:val="006D267E"/>
    <w:rsid w:val="006D2F82"/>
    <w:rsid w:val="006D419D"/>
    <w:rsid w:val="006D471A"/>
    <w:rsid w:val="006D4F49"/>
    <w:rsid w:val="006D5130"/>
    <w:rsid w:val="006E381A"/>
    <w:rsid w:val="006E409B"/>
    <w:rsid w:val="006E492C"/>
    <w:rsid w:val="006E56D5"/>
    <w:rsid w:val="006E5A5A"/>
    <w:rsid w:val="006F05F7"/>
    <w:rsid w:val="006F2A5C"/>
    <w:rsid w:val="006F31E9"/>
    <w:rsid w:val="006F3449"/>
    <w:rsid w:val="006F4431"/>
    <w:rsid w:val="006F72D5"/>
    <w:rsid w:val="006F72F6"/>
    <w:rsid w:val="00700CD1"/>
    <w:rsid w:val="007012CD"/>
    <w:rsid w:val="00702B90"/>
    <w:rsid w:val="007037FC"/>
    <w:rsid w:val="0070447C"/>
    <w:rsid w:val="0070498A"/>
    <w:rsid w:val="00706830"/>
    <w:rsid w:val="00706D14"/>
    <w:rsid w:val="00711028"/>
    <w:rsid w:val="00711C5C"/>
    <w:rsid w:val="00713CDF"/>
    <w:rsid w:val="00714208"/>
    <w:rsid w:val="0071444C"/>
    <w:rsid w:val="007153CF"/>
    <w:rsid w:val="00715DF8"/>
    <w:rsid w:val="0071629F"/>
    <w:rsid w:val="00716683"/>
    <w:rsid w:val="00717015"/>
    <w:rsid w:val="00720231"/>
    <w:rsid w:val="00720CE7"/>
    <w:rsid w:val="0072125E"/>
    <w:rsid w:val="00721DCF"/>
    <w:rsid w:val="0072286D"/>
    <w:rsid w:val="00724E82"/>
    <w:rsid w:val="0072584B"/>
    <w:rsid w:val="00727CFC"/>
    <w:rsid w:val="00730673"/>
    <w:rsid w:val="00730741"/>
    <w:rsid w:val="00731300"/>
    <w:rsid w:val="00734A39"/>
    <w:rsid w:val="00737944"/>
    <w:rsid w:val="007403F3"/>
    <w:rsid w:val="007453DB"/>
    <w:rsid w:val="00745D0B"/>
    <w:rsid w:val="00746683"/>
    <w:rsid w:val="00747A13"/>
    <w:rsid w:val="00752F91"/>
    <w:rsid w:val="007571BD"/>
    <w:rsid w:val="00762B16"/>
    <w:rsid w:val="00764DDF"/>
    <w:rsid w:val="00764E50"/>
    <w:rsid w:val="00765D18"/>
    <w:rsid w:val="00766275"/>
    <w:rsid w:val="00766629"/>
    <w:rsid w:val="00766EC1"/>
    <w:rsid w:val="00770305"/>
    <w:rsid w:val="0077075F"/>
    <w:rsid w:val="0077403A"/>
    <w:rsid w:val="0078257B"/>
    <w:rsid w:val="00782A64"/>
    <w:rsid w:val="0078436A"/>
    <w:rsid w:val="0078446D"/>
    <w:rsid w:val="00785C53"/>
    <w:rsid w:val="00786908"/>
    <w:rsid w:val="0078717C"/>
    <w:rsid w:val="007907A9"/>
    <w:rsid w:val="007918C5"/>
    <w:rsid w:val="00792482"/>
    <w:rsid w:val="007934C2"/>
    <w:rsid w:val="00795081"/>
    <w:rsid w:val="00796100"/>
    <w:rsid w:val="00796AB0"/>
    <w:rsid w:val="007A016B"/>
    <w:rsid w:val="007A040B"/>
    <w:rsid w:val="007A0978"/>
    <w:rsid w:val="007A29B5"/>
    <w:rsid w:val="007A29D7"/>
    <w:rsid w:val="007A4006"/>
    <w:rsid w:val="007A41C8"/>
    <w:rsid w:val="007A508F"/>
    <w:rsid w:val="007A64E8"/>
    <w:rsid w:val="007A6D32"/>
    <w:rsid w:val="007A7E5E"/>
    <w:rsid w:val="007A7FCE"/>
    <w:rsid w:val="007B1EAD"/>
    <w:rsid w:val="007B2A3D"/>
    <w:rsid w:val="007B2C1F"/>
    <w:rsid w:val="007B4875"/>
    <w:rsid w:val="007B5970"/>
    <w:rsid w:val="007B59A2"/>
    <w:rsid w:val="007B60A5"/>
    <w:rsid w:val="007B7E26"/>
    <w:rsid w:val="007C03F8"/>
    <w:rsid w:val="007C24BE"/>
    <w:rsid w:val="007C3917"/>
    <w:rsid w:val="007C3DE6"/>
    <w:rsid w:val="007C4CDF"/>
    <w:rsid w:val="007C4DC2"/>
    <w:rsid w:val="007C6683"/>
    <w:rsid w:val="007C66D0"/>
    <w:rsid w:val="007C74B8"/>
    <w:rsid w:val="007C74EA"/>
    <w:rsid w:val="007C753F"/>
    <w:rsid w:val="007C7CFE"/>
    <w:rsid w:val="007D056B"/>
    <w:rsid w:val="007D0D62"/>
    <w:rsid w:val="007D21B4"/>
    <w:rsid w:val="007D32DA"/>
    <w:rsid w:val="007D38B5"/>
    <w:rsid w:val="007D544F"/>
    <w:rsid w:val="007D5848"/>
    <w:rsid w:val="007D5A56"/>
    <w:rsid w:val="007D6245"/>
    <w:rsid w:val="007E195E"/>
    <w:rsid w:val="007E3897"/>
    <w:rsid w:val="007E5230"/>
    <w:rsid w:val="007E62AD"/>
    <w:rsid w:val="007E6927"/>
    <w:rsid w:val="007E7842"/>
    <w:rsid w:val="007F12AD"/>
    <w:rsid w:val="007F19DB"/>
    <w:rsid w:val="007F2E8A"/>
    <w:rsid w:val="007F3575"/>
    <w:rsid w:val="007F457F"/>
    <w:rsid w:val="007F4FDC"/>
    <w:rsid w:val="007F56C2"/>
    <w:rsid w:val="007F5D5F"/>
    <w:rsid w:val="007F7C32"/>
    <w:rsid w:val="00803CD0"/>
    <w:rsid w:val="0080434B"/>
    <w:rsid w:val="00804849"/>
    <w:rsid w:val="00804E53"/>
    <w:rsid w:val="008073A4"/>
    <w:rsid w:val="00807AAA"/>
    <w:rsid w:val="00807D66"/>
    <w:rsid w:val="00810BD2"/>
    <w:rsid w:val="0081116D"/>
    <w:rsid w:val="008113D6"/>
    <w:rsid w:val="00811502"/>
    <w:rsid w:val="00812124"/>
    <w:rsid w:val="00813870"/>
    <w:rsid w:val="00815139"/>
    <w:rsid w:val="00815DAB"/>
    <w:rsid w:val="00820855"/>
    <w:rsid w:val="0082282A"/>
    <w:rsid w:val="0082555C"/>
    <w:rsid w:val="00825ED8"/>
    <w:rsid w:val="00835726"/>
    <w:rsid w:val="00841902"/>
    <w:rsid w:val="008423C1"/>
    <w:rsid w:val="0084566C"/>
    <w:rsid w:val="008463DA"/>
    <w:rsid w:val="00846BA7"/>
    <w:rsid w:val="0084703B"/>
    <w:rsid w:val="0084712E"/>
    <w:rsid w:val="0085082A"/>
    <w:rsid w:val="00853AB1"/>
    <w:rsid w:val="0085425D"/>
    <w:rsid w:val="00854B30"/>
    <w:rsid w:val="008551DD"/>
    <w:rsid w:val="00856921"/>
    <w:rsid w:val="00860235"/>
    <w:rsid w:val="0086074F"/>
    <w:rsid w:val="008612D6"/>
    <w:rsid w:val="00863503"/>
    <w:rsid w:val="0086499E"/>
    <w:rsid w:val="0086626F"/>
    <w:rsid w:val="008663D3"/>
    <w:rsid w:val="008722CE"/>
    <w:rsid w:val="0087264B"/>
    <w:rsid w:val="00873093"/>
    <w:rsid w:val="00874A7F"/>
    <w:rsid w:val="00876465"/>
    <w:rsid w:val="00880BCB"/>
    <w:rsid w:val="00880D19"/>
    <w:rsid w:val="0088213D"/>
    <w:rsid w:val="00882746"/>
    <w:rsid w:val="00885657"/>
    <w:rsid w:val="008906B0"/>
    <w:rsid w:val="00891A35"/>
    <w:rsid w:val="00892E93"/>
    <w:rsid w:val="00893F1F"/>
    <w:rsid w:val="008945C3"/>
    <w:rsid w:val="00895C67"/>
    <w:rsid w:val="00895F0E"/>
    <w:rsid w:val="0089673D"/>
    <w:rsid w:val="00896877"/>
    <w:rsid w:val="00897EB1"/>
    <w:rsid w:val="008A2C68"/>
    <w:rsid w:val="008B141F"/>
    <w:rsid w:val="008B18D9"/>
    <w:rsid w:val="008B273D"/>
    <w:rsid w:val="008B2F8C"/>
    <w:rsid w:val="008B3262"/>
    <w:rsid w:val="008B3AB6"/>
    <w:rsid w:val="008B4D33"/>
    <w:rsid w:val="008B5145"/>
    <w:rsid w:val="008B550C"/>
    <w:rsid w:val="008B6305"/>
    <w:rsid w:val="008B7BC8"/>
    <w:rsid w:val="008C12B2"/>
    <w:rsid w:val="008C3882"/>
    <w:rsid w:val="008C67BD"/>
    <w:rsid w:val="008D1239"/>
    <w:rsid w:val="008D54DB"/>
    <w:rsid w:val="008E2622"/>
    <w:rsid w:val="008E2C5C"/>
    <w:rsid w:val="008E3530"/>
    <w:rsid w:val="008E4FCB"/>
    <w:rsid w:val="008E622B"/>
    <w:rsid w:val="008E655B"/>
    <w:rsid w:val="008F0532"/>
    <w:rsid w:val="008F066C"/>
    <w:rsid w:val="008F1507"/>
    <w:rsid w:val="008F198B"/>
    <w:rsid w:val="008F7FF4"/>
    <w:rsid w:val="00903327"/>
    <w:rsid w:val="009033E1"/>
    <w:rsid w:val="00904876"/>
    <w:rsid w:val="00906601"/>
    <w:rsid w:val="0090680C"/>
    <w:rsid w:val="00906E21"/>
    <w:rsid w:val="00907734"/>
    <w:rsid w:val="009077A1"/>
    <w:rsid w:val="00910209"/>
    <w:rsid w:val="00917598"/>
    <w:rsid w:val="009175DC"/>
    <w:rsid w:val="00917DC8"/>
    <w:rsid w:val="009209D1"/>
    <w:rsid w:val="009222AF"/>
    <w:rsid w:val="009258EB"/>
    <w:rsid w:val="009264C7"/>
    <w:rsid w:val="00926F55"/>
    <w:rsid w:val="00927355"/>
    <w:rsid w:val="00927AD8"/>
    <w:rsid w:val="00927F24"/>
    <w:rsid w:val="00931B4D"/>
    <w:rsid w:val="00933578"/>
    <w:rsid w:val="00934843"/>
    <w:rsid w:val="00935F25"/>
    <w:rsid w:val="00937334"/>
    <w:rsid w:val="0094282A"/>
    <w:rsid w:val="00942CBD"/>
    <w:rsid w:val="00943D86"/>
    <w:rsid w:val="00951A21"/>
    <w:rsid w:val="00954629"/>
    <w:rsid w:val="009546E6"/>
    <w:rsid w:val="00954CFA"/>
    <w:rsid w:val="009562E2"/>
    <w:rsid w:val="00956DE4"/>
    <w:rsid w:val="00964A89"/>
    <w:rsid w:val="009668B8"/>
    <w:rsid w:val="009679E4"/>
    <w:rsid w:val="009706AB"/>
    <w:rsid w:val="00971E51"/>
    <w:rsid w:val="0097331E"/>
    <w:rsid w:val="0097374F"/>
    <w:rsid w:val="0097384E"/>
    <w:rsid w:val="009738C4"/>
    <w:rsid w:val="00974B8B"/>
    <w:rsid w:val="00975429"/>
    <w:rsid w:val="00976332"/>
    <w:rsid w:val="00976F12"/>
    <w:rsid w:val="00977D7C"/>
    <w:rsid w:val="00980649"/>
    <w:rsid w:val="00980C63"/>
    <w:rsid w:val="009817F8"/>
    <w:rsid w:val="00985A1E"/>
    <w:rsid w:val="00985A93"/>
    <w:rsid w:val="00987724"/>
    <w:rsid w:val="009923C8"/>
    <w:rsid w:val="00994264"/>
    <w:rsid w:val="00995C95"/>
    <w:rsid w:val="00997A4E"/>
    <w:rsid w:val="00997F54"/>
    <w:rsid w:val="009A01AF"/>
    <w:rsid w:val="009A0E1A"/>
    <w:rsid w:val="009A0E2B"/>
    <w:rsid w:val="009A2725"/>
    <w:rsid w:val="009A3732"/>
    <w:rsid w:val="009A4429"/>
    <w:rsid w:val="009A44D9"/>
    <w:rsid w:val="009A4EC2"/>
    <w:rsid w:val="009A5709"/>
    <w:rsid w:val="009A5C69"/>
    <w:rsid w:val="009A5E34"/>
    <w:rsid w:val="009A7160"/>
    <w:rsid w:val="009B0220"/>
    <w:rsid w:val="009B15AE"/>
    <w:rsid w:val="009B22D8"/>
    <w:rsid w:val="009B25EA"/>
    <w:rsid w:val="009B2F3A"/>
    <w:rsid w:val="009B304D"/>
    <w:rsid w:val="009B32CE"/>
    <w:rsid w:val="009B40D9"/>
    <w:rsid w:val="009B4A2C"/>
    <w:rsid w:val="009B6121"/>
    <w:rsid w:val="009B6D4D"/>
    <w:rsid w:val="009B73D9"/>
    <w:rsid w:val="009C4A2C"/>
    <w:rsid w:val="009C54AE"/>
    <w:rsid w:val="009C721A"/>
    <w:rsid w:val="009C7FA7"/>
    <w:rsid w:val="009D078C"/>
    <w:rsid w:val="009D143E"/>
    <w:rsid w:val="009D211C"/>
    <w:rsid w:val="009D2A8B"/>
    <w:rsid w:val="009D3862"/>
    <w:rsid w:val="009D3883"/>
    <w:rsid w:val="009D56B7"/>
    <w:rsid w:val="009D5E95"/>
    <w:rsid w:val="009D6DB8"/>
    <w:rsid w:val="009D7843"/>
    <w:rsid w:val="009D7A28"/>
    <w:rsid w:val="009E4666"/>
    <w:rsid w:val="009E4B8F"/>
    <w:rsid w:val="009E4CB9"/>
    <w:rsid w:val="009E640E"/>
    <w:rsid w:val="009F0869"/>
    <w:rsid w:val="009F1B51"/>
    <w:rsid w:val="009F1BB9"/>
    <w:rsid w:val="009F1D1C"/>
    <w:rsid w:val="009F3086"/>
    <w:rsid w:val="009F362F"/>
    <w:rsid w:val="009F373D"/>
    <w:rsid w:val="009F5040"/>
    <w:rsid w:val="009F644C"/>
    <w:rsid w:val="009F7B23"/>
    <w:rsid w:val="00A00617"/>
    <w:rsid w:val="00A0064F"/>
    <w:rsid w:val="00A03212"/>
    <w:rsid w:val="00A03805"/>
    <w:rsid w:val="00A03839"/>
    <w:rsid w:val="00A04D82"/>
    <w:rsid w:val="00A0581E"/>
    <w:rsid w:val="00A100D4"/>
    <w:rsid w:val="00A10285"/>
    <w:rsid w:val="00A10F61"/>
    <w:rsid w:val="00A12275"/>
    <w:rsid w:val="00A12AD7"/>
    <w:rsid w:val="00A16A44"/>
    <w:rsid w:val="00A1705B"/>
    <w:rsid w:val="00A1751A"/>
    <w:rsid w:val="00A21305"/>
    <w:rsid w:val="00A21857"/>
    <w:rsid w:val="00A219FB"/>
    <w:rsid w:val="00A245DD"/>
    <w:rsid w:val="00A25A90"/>
    <w:rsid w:val="00A25CDE"/>
    <w:rsid w:val="00A3094F"/>
    <w:rsid w:val="00A32A62"/>
    <w:rsid w:val="00A32D0C"/>
    <w:rsid w:val="00A350E9"/>
    <w:rsid w:val="00A35991"/>
    <w:rsid w:val="00A3612D"/>
    <w:rsid w:val="00A44480"/>
    <w:rsid w:val="00A4577C"/>
    <w:rsid w:val="00A46F5D"/>
    <w:rsid w:val="00A474D2"/>
    <w:rsid w:val="00A474F8"/>
    <w:rsid w:val="00A50539"/>
    <w:rsid w:val="00A50DA0"/>
    <w:rsid w:val="00A5117B"/>
    <w:rsid w:val="00A53145"/>
    <w:rsid w:val="00A53E54"/>
    <w:rsid w:val="00A54BEB"/>
    <w:rsid w:val="00A5574A"/>
    <w:rsid w:val="00A5587B"/>
    <w:rsid w:val="00A56FCC"/>
    <w:rsid w:val="00A57582"/>
    <w:rsid w:val="00A61063"/>
    <w:rsid w:val="00A61331"/>
    <w:rsid w:val="00A614BB"/>
    <w:rsid w:val="00A63C29"/>
    <w:rsid w:val="00A63F98"/>
    <w:rsid w:val="00A663F5"/>
    <w:rsid w:val="00A66542"/>
    <w:rsid w:val="00A67884"/>
    <w:rsid w:val="00A70F38"/>
    <w:rsid w:val="00A7397C"/>
    <w:rsid w:val="00A74A33"/>
    <w:rsid w:val="00A75949"/>
    <w:rsid w:val="00A779FB"/>
    <w:rsid w:val="00A80968"/>
    <w:rsid w:val="00A816AA"/>
    <w:rsid w:val="00A82111"/>
    <w:rsid w:val="00A8312D"/>
    <w:rsid w:val="00A83E49"/>
    <w:rsid w:val="00A90563"/>
    <w:rsid w:val="00A9201E"/>
    <w:rsid w:val="00A93DBF"/>
    <w:rsid w:val="00A943AA"/>
    <w:rsid w:val="00A94BF2"/>
    <w:rsid w:val="00A94EC8"/>
    <w:rsid w:val="00A9796F"/>
    <w:rsid w:val="00AA42B3"/>
    <w:rsid w:val="00AA4C65"/>
    <w:rsid w:val="00AA600B"/>
    <w:rsid w:val="00AA70BC"/>
    <w:rsid w:val="00AB0762"/>
    <w:rsid w:val="00AB0DB7"/>
    <w:rsid w:val="00AB0EA8"/>
    <w:rsid w:val="00AB50D9"/>
    <w:rsid w:val="00AB531C"/>
    <w:rsid w:val="00AB537C"/>
    <w:rsid w:val="00AB64AA"/>
    <w:rsid w:val="00AB6D56"/>
    <w:rsid w:val="00AC0699"/>
    <w:rsid w:val="00AC259E"/>
    <w:rsid w:val="00AC3A96"/>
    <w:rsid w:val="00AC4364"/>
    <w:rsid w:val="00AC50CA"/>
    <w:rsid w:val="00AC682B"/>
    <w:rsid w:val="00AC6CF4"/>
    <w:rsid w:val="00AC7005"/>
    <w:rsid w:val="00AC79C6"/>
    <w:rsid w:val="00AD13D8"/>
    <w:rsid w:val="00AD16C8"/>
    <w:rsid w:val="00AD3CA7"/>
    <w:rsid w:val="00AD4472"/>
    <w:rsid w:val="00AD460D"/>
    <w:rsid w:val="00AD69BF"/>
    <w:rsid w:val="00AD7211"/>
    <w:rsid w:val="00AD747D"/>
    <w:rsid w:val="00AE06DB"/>
    <w:rsid w:val="00AE15B3"/>
    <w:rsid w:val="00AE1E44"/>
    <w:rsid w:val="00AE2EB5"/>
    <w:rsid w:val="00AE32E6"/>
    <w:rsid w:val="00AE67CE"/>
    <w:rsid w:val="00AE7394"/>
    <w:rsid w:val="00AF0D2A"/>
    <w:rsid w:val="00AF3453"/>
    <w:rsid w:val="00AF3856"/>
    <w:rsid w:val="00AF38F4"/>
    <w:rsid w:val="00AF684A"/>
    <w:rsid w:val="00AF6DB2"/>
    <w:rsid w:val="00B0190A"/>
    <w:rsid w:val="00B037C4"/>
    <w:rsid w:val="00B045E1"/>
    <w:rsid w:val="00B04781"/>
    <w:rsid w:val="00B048C0"/>
    <w:rsid w:val="00B04F51"/>
    <w:rsid w:val="00B07AC8"/>
    <w:rsid w:val="00B10606"/>
    <w:rsid w:val="00B11050"/>
    <w:rsid w:val="00B11BF6"/>
    <w:rsid w:val="00B12694"/>
    <w:rsid w:val="00B143BD"/>
    <w:rsid w:val="00B14614"/>
    <w:rsid w:val="00B158FA"/>
    <w:rsid w:val="00B15C45"/>
    <w:rsid w:val="00B1608D"/>
    <w:rsid w:val="00B161C5"/>
    <w:rsid w:val="00B16B67"/>
    <w:rsid w:val="00B17984"/>
    <w:rsid w:val="00B17FCC"/>
    <w:rsid w:val="00B2138C"/>
    <w:rsid w:val="00B21EC6"/>
    <w:rsid w:val="00B23076"/>
    <w:rsid w:val="00B2484B"/>
    <w:rsid w:val="00B24A00"/>
    <w:rsid w:val="00B25439"/>
    <w:rsid w:val="00B30102"/>
    <w:rsid w:val="00B310C0"/>
    <w:rsid w:val="00B31540"/>
    <w:rsid w:val="00B31606"/>
    <w:rsid w:val="00B32D35"/>
    <w:rsid w:val="00B33E8A"/>
    <w:rsid w:val="00B37147"/>
    <w:rsid w:val="00B408D6"/>
    <w:rsid w:val="00B427F7"/>
    <w:rsid w:val="00B45B55"/>
    <w:rsid w:val="00B47763"/>
    <w:rsid w:val="00B501EC"/>
    <w:rsid w:val="00B50C54"/>
    <w:rsid w:val="00B510CB"/>
    <w:rsid w:val="00B5120C"/>
    <w:rsid w:val="00B5293E"/>
    <w:rsid w:val="00B533A7"/>
    <w:rsid w:val="00B53626"/>
    <w:rsid w:val="00B549A1"/>
    <w:rsid w:val="00B553F1"/>
    <w:rsid w:val="00B55D27"/>
    <w:rsid w:val="00B55EFA"/>
    <w:rsid w:val="00B56073"/>
    <w:rsid w:val="00B5647A"/>
    <w:rsid w:val="00B57966"/>
    <w:rsid w:val="00B619A3"/>
    <w:rsid w:val="00B621C9"/>
    <w:rsid w:val="00B6421D"/>
    <w:rsid w:val="00B64B70"/>
    <w:rsid w:val="00B65217"/>
    <w:rsid w:val="00B65229"/>
    <w:rsid w:val="00B66140"/>
    <w:rsid w:val="00B67956"/>
    <w:rsid w:val="00B72900"/>
    <w:rsid w:val="00B735BE"/>
    <w:rsid w:val="00B7364A"/>
    <w:rsid w:val="00B75E7C"/>
    <w:rsid w:val="00B80207"/>
    <w:rsid w:val="00B83757"/>
    <w:rsid w:val="00B83DE8"/>
    <w:rsid w:val="00B83E19"/>
    <w:rsid w:val="00B85411"/>
    <w:rsid w:val="00B86B2D"/>
    <w:rsid w:val="00B87415"/>
    <w:rsid w:val="00B87662"/>
    <w:rsid w:val="00B901D2"/>
    <w:rsid w:val="00B929BC"/>
    <w:rsid w:val="00B94B68"/>
    <w:rsid w:val="00B95691"/>
    <w:rsid w:val="00B95E2F"/>
    <w:rsid w:val="00B978BD"/>
    <w:rsid w:val="00B979BA"/>
    <w:rsid w:val="00BA00FF"/>
    <w:rsid w:val="00BA0E38"/>
    <w:rsid w:val="00BA43EB"/>
    <w:rsid w:val="00BA5F85"/>
    <w:rsid w:val="00BA75F8"/>
    <w:rsid w:val="00BA767D"/>
    <w:rsid w:val="00BA7EEF"/>
    <w:rsid w:val="00BB0072"/>
    <w:rsid w:val="00BB76F9"/>
    <w:rsid w:val="00BC0036"/>
    <w:rsid w:val="00BC06D9"/>
    <w:rsid w:val="00BC48C0"/>
    <w:rsid w:val="00BC50E0"/>
    <w:rsid w:val="00BC5640"/>
    <w:rsid w:val="00BC5A14"/>
    <w:rsid w:val="00BC6481"/>
    <w:rsid w:val="00BC6B5A"/>
    <w:rsid w:val="00BC7106"/>
    <w:rsid w:val="00BC7D68"/>
    <w:rsid w:val="00BC7EBB"/>
    <w:rsid w:val="00BD0476"/>
    <w:rsid w:val="00BD2FBB"/>
    <w:rsid w:val="00BD323C"/>
    <w:rsid w:val="00BD4C26"/>
    <w:rsid w:val="00BD5771"/>
    <w:rsid w:val="00BD7A06"/>
    <w:rsid w:val="00BD7C9D"/>
    <w:rsid w:val="00BE2852"/>
    <w:rsid w:val="00BE2A83"/>
    <w:rsid w:val="00BE4BC8"/>
    <w:rsid w:val="00BE4D81"/>
    <w:rsid w:val="00BE57AE"/>
    <w:rsid w:val="00BE5C58"/>
    <w:rsid w:val="00BE710E"/>
    <w:rsid w:val="00BF08A2"/>
    <w:rsid w:val="00BF0BA7"/>
    <w:rsid w:val="00BF1437"/>
    <w:rsid w:val="00BF1A30"/>
    <w:rsid w:val="00BF25D3"/>
    <w:rsid w:val="00BF5647"/>
    <w:rsid w:val="00BF728A"/>
    <w:rsid w:val="00C0059E"/>
    <w:rsid w:val="00C00F13"/>
    <w:rsid w:val="00C018F6"/>
    <w:rsid w:val="00C025AB"/>
    <w:rsid w:val="00C04235"/>
    <w:rsid w:val="00C047DD"/>
    <w:rsid w:val="00C075FA"/>
    <w:rsid w:val="00C07772"/>
    <w:rsid w:val="00C11DEF"/>
    <w:rsid w:val="00C14D2E"/>
    <w:rsid w:val="00C152CA"/>
    <w:rsid w:val="00C15FE1"/>
    <w:rsid w:val="00C20B8F"/>
    <w:rsid w:val="00C20B9A"/>
    <w:rsid w:val="00C219D5"/>
    <w:rsid w:val="00C223FE"/>
    <w:rsid w:val="00C22B77"/>
    <w:rsid w:val="00C2308D"/>
    <w:rsid w:val="00C23183"/>
    <w:rsid w:val="00C244BD"/>
    <w:rsid w:val="00C2562B"/>
    <w:rsid w:val="00C25E8A"/>
    <w:rsid w:val="00C278C9"/>
    <w:rsid w:val="00C30416"/>
    <w:rsid w:val="00C30A6F"/>
    <w:rsid w:val="00C30B3E"/>
    <w:rsid w:val="00C30DF3"/>
    <w:rsid w:val="00C318DE"/>
    <w:rsid w:val="00C33453"/>
    <w:rsid w:val="00C401DE"/>
    <w:rsid w:val="00C405C9"/>
    <w:rsid w:val="00C4392B"/>
    <w:rsid w:val="00C43D03"/>
    <w:rsid w:val="00C44850"/>
    <w:rsid w:val="00C460E4"/>
    <w:rsid w:val="00C463DC"/>
    <w:rsid w:val="00C5050F"/>
    <w:rsid w:val="00C50F47"/>
    <w:rsid w:val="00C52198"/>
    <w:rsid w:val="00C524B6"/>
    <w:rsid w:val="00C531FA"/>
    <w:rsid w:val="00C53B05"/>
    <w:rsid w:val="00C53B8B"/>
    <w:rsid w:val="00C5795F"/>
    <w:rsid w:val="00C60B18"/>
    <w:rsid w:val="00C60D20"/>
    <w:rsid w:val="00C619DC"/>
    <w:rsid w:val="00C64FB1"/>
    <w:rsid w:val="00C6638B"/>
    <w:rsid w:val="00C67650"/>
    <w:rsid w:val="00C7231A"/>
    <w:rsid w:val="00C734E4"/>
    <w:rsid w:val="00C739A1"/>
    <w:rsid w:val="00C74B5A"/>
    <w:rsid w:val="00C77F08"/>
    <w:rsid w:val="00C80319"/>
    <w:rsid w:val="00C81A12"/>
    <w:rsid w:val="00C83397"/>
    <w:rsid w:val="00C83DD4"/>
    <w:rsid w:val="00C85BFF"/>
    <w:rsid w:val="00C873A4"/>
    <w:rsid w:val="00C90EA9"/>
    <w:rsid w:val="00CA0D4F"/>
    <w:rsid w:val="00CA1224"/>
    <w:rsid w:val="00CA1397"/>
    <w:rsid w:val="00CA519E"/>
    <w:rsid w:val="00CA5893"/>
    <w:rsid w:val="00CB165F"/>
    <w:rsid w:val="00CB18A2"/>
    <w:rsid w:val="00CB3621"/>
    <w:rsid w:val="00CB4A68"/>
    <w:rsid w:val="00CB50C6"/>
    <w:rsid w:val="00CC1380"/>
    <w:rsid w:val="00CC47FF"/>
    <w:rsid w:val="00CC7D91"/>
    <w:rsid w:val="00CD08DD"/>
    <w:rsid w:val="00CD1A96"/>
    <w:rsid w:val="00CD2824"/>
    <w:rsid w:val="00CD6203"/>
    <w:rsid w:val="00CD7641"/>
    <w:rsid w:val="00CE05BE"/>
    <w:rsid w:val="00CE05DB"/>
    <w:rsid w:val="00CE0777"/>
    <w:rsid w:val="00CE1474"/>
    <w:rsid w:val="00CE2393"/>
    <w:rsid w:val="00CE26D7"/>
    <w:rsid w:val="00CE2E2F"/>
    <w:rsid w:val="00CE36F1"/>
    <w:rsid w:val="00CE3FF2"/>
    <w:rsid w:val="00CE5260"/>
    <w:rsid w:val="00CE56AB"/>
    <w:rsid w:val="00CE6395"/>
    <w:rsid w:val="00CE6BE3"/>
    <w:rsid w:val="00CE7641"/>
    <w:rsid w:val="00CE77D7"/>
    <w:rsid w:val="00CE7C12"/>
    <w:rsid w:val="00CF0FFD"/>
    <w:rsid w:val="00CF13AB"/>
    <w:rsid w:val="00CF4162"/>
    <w:rsid w:val="00CF4528"/>
    <w:rsid w:val="00CF59D2"/>
    <w:rsid w:val="00CF74B8"/>
    <w:rsid w:val="00D01374"/>
    <w:rsid w:val="00D02E0E"/>
    <w:rsid w:val="00D03028"/>
    <w:rsid w:val="00D030AA"/>
    <w:rsid w:val="00D05292"/>
    <w:rsid w:val="00D05363"/>
    <w:rsid w:val="00D125AC"/>
    <w:rsid w:val="00D12F91"/>
    <w:rsid w:val="00D14AAA"/>
    <w:rsid w:val="00D155DC"/>
    <w:rsid w:val="00D15C7E"/>
    <w:rsid w:val="00D20D5C"/>
    <w:rsid w:val="00D21EDC"/>
    <w:rsid w:val="00D23502"/>
    <w:rsid w:val="00D237D5"/>
    <w:rsid w:val="00D242BD"/>
    <w:rsid w:val="00D2545E"/>
    <w:rsid w:val="00D256F9"/>
    <w:rsid w:val="00D2714E"/>
    <w:rsid w:val="00D3123C"/>
    <w:rsid w:val="00D336EC"/>
    <w:rsid w:val="00D3373B"/>
    <w:rsid w:val="00D34071"/>
    <w:rsid w:val="00D34AAF"/>
    <w:rsid w:val="00D36E59"/>
    <w:rsid w:val="00D40367"/>
    <w:rsid w:val="00D40956"/>
    <w:rsid w:val="00D44FB4"/>
    <w:rsid w:val="00D46BED"/>
    <w:rsid w:val="00D46DD0"/>
    <w:rsid w:val="00D47142"/>
    <w:rsid w:val="00D51D58"/>
    <w:rsid w:val="00D53476"/>
    <w:rsid w:val="00D53D4E"/>
    <w:rsid w:val="00D55309"/>
    <w:rsid w:val="00D567D8"/>
    <w:rsid w:val="00D56A56"/>
    <w:rsid w:val="00D601BE"/>
    <w:rsid w:val="00D62014"/>
    <w:rsid w:val="00D624FA"/>
    <w:rsid w:val="00D643A6"/>
    <w:rsid w:val="00D648DD"/>
    <w:rsid w:val="00D66F15"/>
    <w:rsid w:val="00D71C76"/>
    <w:rsid w:val="00D7210F"/>
    <w:rsid w:val="00D72DDC"/>
    <w:rsid w:val="00D73733"/>
    <w:rsid w:val="00D761A3"/>
    <w:rsid w:val="00D76873"/>
    <w:rsid w:val="00D8078E"/>
    <w:rsid w:val="00D8377A"/>
    <w:rsid w:val="00D83D65"/>
    <w:rsid w:val="00D85ED0"/>
    <w:rsid w:val="00D874D3"/>
    <w:rsid w:val="00D87815"/>
    <w:rsid w:val="00D900A0"/>
    <w:rsid w:val="00D93BE8"/>
    <w:rsid w:val="00D93F81"/>
    <w:rsid w:val="00D94428"/>
    <w:rsid w:val="00D94683"/>
    <w:rsid w:val="00D9558B"/>
    <w:rsid w:val="00D957E5"/>
    <w:rsid w:val="00D95832"/>
    <w:rsid w:val="00D965A7"/>
    <w:rsid w:val="00DA1C77"/>
    <w:rsid w:val="00DA1DA5"/>
    <w:rsid w:val="00DA39F0"/>
    <w:rsid w:val="00DA4A8E"/>
    <w:rsid w:val="00DA52DE"/>
    <w:rsid w:val="00DA673D"/>
    <w:rsid w:val="00DB15E7"/>
    <w:rsid w:val="00DB1B75"/>
    <w:rsid w:val="00DB3214"/>
    <w:rsid w:val="00DB7338"/>
    <w:rsid w:val="00DB7D09"/>
    <w:rsid w:val="00DB7FF7"/>
    <w:rsid w:val="00DC161E"/>
    <w:rsid w:val="00DC4412"/>
    <w:rsid w:val="00DC4F79"/>
    <w:rsid w:val="00DC700B"/>
    <w:rsid w:val="00DC7BA5"/>
    <w:rsid w:val="00DD02DE"/>
    <w:rsid w:val="00DD1630"/>
    <w:rsid w:val="00DD2160"/>
    <w:rsid w:val="00DD409B"/>
    <w:rsid w:val="00DD5611"/>
    <w:rsid w:val="00DD5986"/>
    <w:rsid w:val="00DE07A3"/>
    <w:rsid w:val="00DE109C"/>
    <w:rsid w:val="00DE2590"/>
    <w:rsid w:val="00DE28F7"/>
    <w:rsid w:val="00DE4286"/>
    <w:rsid w:val="00DE52B1"/>
    <w:rsid w:val="00DE60E8"/>
    <w:rsid w:val="00DE7687"/>
    <w:rsid w:val="00DE7FC8"/>
    <w:rsid w:val="00DF1DD2"/>
    <w:rsid w:val="00DF35FC"/>
    <w:rsid w:val="00DF4C2E"/>
    <w:rsid w:val="00DF5546"/>
    <w:rsid w:val="00E04FA7"/>
    <w:rsid w:val="00E05692"/>
    <w:rsid w:val="00E05729"/>
    <w:rsid w:val="00E068EF"/>
    <w:rsid w:val="00E07DDF"/>
    <w:rsid w:val="00E106CC"/>
    <w:rsid w:val="00E14889"/>
    <w:rsid w:val="00E14B57"/>
    <w:rsid w:val="00E17897"/>
    <w:rsid w:val="00E20A48"/>
    <w:rsid w:val="00E212CD"/>
    <w:rsid w:val="00E2161F"/>
    <w:rsid w:val="00E23D5C"/>
    <w:rsid w:val="00E26838"/>
    <w:rsid w:val="00E27A1A"/>
    <w:rsid w:val="00E27CD0"/>
    <w:rsid w:val="00E27F4A"/>
    <w:rsid w:val="00E30092"/>
    <w:rsid w:val="00E306FA"/>
    <w:rsid w:val="00E30F8E"/>
    <w:rsid w:val="00E3226A"/>
    <w:rsid w:val="00E33135"/>
    <w:rsid w:val="00E350DA"/>
    <w:rsid w:val="00E40C89"/>
    <w:rsid w:val="00E44314"/>
    <w:rsid w:val="00E5094F"/>
    <w:rsid w:val="00E52A65"/>
    <w:rsid w:val="00E52A78"/>
    <w:rsid w:val="00E54BAE"/>
    <w:rsid w:val="00E5576F"/>
    <w:rsid w:val="00E56B3D"/>
    <w:rsid w:val="00E56DA0"/>
    <w:rsid w:val="00E57BF2"/>
    <w:rsid w:val="00E60509"/>
    <w:rsid w:val="00E62731"/>
    <w:rsid w:val="00E6464A"/>
    <w:rsid w:val="00E67278"/>
    <w:rsid w:val="00E7083A"/>
    <w:rsid w:val="00E717EE"/>
    <w:rsid w:val="00E72A1E"/>
    <w:rsid w:val="00E7312C"/>
    <w:rsid w:val="00E737B5"/>
    <w:rsid w:val="00E74166"/>
    <w:rsid w:val="00E7530E"/>
    <w:rsid w:val="00E770F5"/>
    <w:rsid w:val="00E77D0D"/>
    <w:rsid w:val="00E80DFC"/>
    <w:rsid w:val="00E8334E"/>
    <w:rsid w:val="00E85A70"/>
    <w:rsid w:val="00E86903"/>
    <w:rsid w:val="00E872FE"/>
    <w:rsid w:val="00E90217"/>
    <w:rsid w:val="00E908F2"/>
    <w:rsid w:val="00E90FE4"/>
    <w:rsid w:val="00E91488"/>
    <w:rsid w:val="00E915BD"/>
    <w:rsid w:val="00E95A8F"/>
    <w:rsid w:val="00E96A16"/>
    <w:rsid w:val="00EA13AE"/>
    <w:rsid w:val="00EA73EF"/>
    <w:rsid w:val="00EB1831"/>
    <w:rsid w:val="00EB2F2D"/>
    <w:rsid w:val="00EB3C9F"/>
    <w:rsid w:val="00EB51E7"/>
    <w:rsid w:val="00EB5A34"/>
    <w:rsid w:val="00EB65D5"/>
    <w:rsid w:val="00EB6771"/>
    <w:rsid w:val="00EB7113"/>
    <w:rsid w:val="00EC06BA"/>
    <w:rsid w:val="00EC30D6"/>
    <w:rsid w:val="00EC4F74"/>
    <w:rsid w:val="00EC599B"/>
    <w:rsid w:val="00EC5C40"/>
    <w:rsid w:val="00EC69A8"/>
    <w:rsid w:val="00EC70F0"/>
    <w:rsid w:val="00ED0581"/>
    <w:rsid w:val="00ED0C20"/>
    <w:rsid w:val="00ED2ACE"/>
    <w:rsid w:val="00ED4BDC"/>
    <w:rsid w:val="00ED76E9"/>
    <w:rsid w:val="00EE0830"/>
    <w:rsid w:val="00EE121C"/>
    <w:rsid w:val="00EE30ED"/>
    <w:rsid w:val="00EE3525"/>
    <w:rsid w:val="00EE45E3"/>
    <w:rsid w:val="00EE552F"/>
    <w:rsid w:val="00EE6E7F"/>
    <w:rsid w:val="00EF2FF8"/>
    <w:rsid w:val="00EF3544"/>
    <w:rsid w:val="00EF4797"/>
    <w:rsid w:val="00EF4DCD"/>
    <w:rsid w:val="00EF62BF"/>
    <w:rsid w:val="00EF7A2E"/>
    <w:rsid w:val="00F01310"/>
    <w:rsid w:val="00F01BA7"/>
    <w:rsid w:val="00F07115"/>
    <w:rsid w:val="00F0753E"/>
    <w:rsid w:val="00F12AD1"/>
    <w:rsid w:val="00F12B9C"/>
    <w:rsid w:val="00F12F07"/>
    <w:rsid w:val="00F14147"/>
    <w:rsid w:val="00F148BE"/>
    <w:rsid w:val="00F15E23"/>
    <w:rsid w:val="00F16AA7"/>
    <w:rsid w:val="00F16E09"/>
    <w:rsid w:val="00F16E34"/>
    <w:rsid w:val="00F203C3"/>
    <w:rsid w:val="00F20F82"/>
    <w:rsid w:val="00F2284C"/>
    <w:rsid w:val="00F278F7"/>
    <w:rsid w:val="00F303D0"/>
    <w:rsid w:val="00F30C61"/>
    <w:rsid w:val="00F30E30"/>
    <w:rsid w:val="00F314C9"/>
    <w:rsid w:val="00F31A13"/>
    <w:rsid w:val="00F328B6"/>
    <w:rsid w:val="00F34395"/>
    <w:rsid w:val="00F34CAD"/>
    <w:rsid w:val="00F35D60"/>
    <w:rsid w:val="00F361D9"/>
    <w:rsid w:val="00F40F3A"/>
    <w:rsid w:val="00F4268F"/>
    <w:rsid w:val="00F44C9E"/>
    <w:rsid w:val="00F454F3"/>
    <w:rsid w:val="00F502BF"/>
    <w:rsid w:val="00F51060"/>
    <w:rsid w:val="00F51372"/>
    <w:rsid w:val="00F516E8"/>
    <w:rsid w:val="00F5236E"/>
    <w:rsid w:val="00F52EEF"/>
    <w:rsid w:val="00F53246"/>
    <w:rsid w:val="00F53AA7"/>
    <w:rsid w:val="00F545A1"/>
    <w:rsid w:val="00F57645"/>
    <w:rsid w:val="00F60474"/>
    <w:rsid w:val="00F6055A"/>
    <w:rsid w:val="00F61B71"/>
    <w:rsid w:val="00F640C3"/>
    <w:rsid w:val="00F66D50"/>
    <w:rsid w:val="00F674BA"/>
    <w:rsid w:val="00F72AA8"/>
    <w:rsid w:val="00F74B61"/>
    <w:rsid w:val="00F75B11"/>
    <w:rsid w:val="00F75C6B"/>
    <w:rsid w:val="00F76701"/>
    <w:rsid w:val="00F80854"/>
    <w:rsid w:val="00F8176E"/>
    <w:rsid w:val="00F82B22"/>
    <w:rsid w:val="00F82D97"/>
    <w:rsid w:val="00F82E5E"/>
    <w:rsid w:val="00F849D0"/>
    <w:rsid w:val="00F8516C"/>
    <w:rsid w:val="00F85910"/>
    <w:rsid w:val="00F867A3"/>
    <w:rsid w:val="00F874BA"/>
    <w:rsid w:val="00F91C19"/>
    <w:rsid w:val="00F923DE"/>
    <w:rsid w:val="00F961E3"/>
    <w:rsid w:val="00F97788"/>
    <w:rsid w:val="00FA1036"/>
    <w:rsid w:val="00FA24EA"/>
    <w:rsid w:val="00FA28C3"/>
    <w:rsid w:val="00FA35F6"/>
    <w:rsid w:val="00FA3E01"/>
    <w:rsid w:val="00FB1A96"/>
    <w:rsid w:val="00FB59C1"/>
    <w:rsid w:val="00FB635B"/>
    <w:rsid w:val="00FC03C1"/>
    <w:rsid w:val="00FC1AFA"/>
    <w:rsid w:val="00FC4834"/>
    <w:rsid w:val="00FC6ACF"/>
    <w:rsid w:val="00FC74FD"/>
    <w:rsid w:val="00FD0161"/>
    <w:rsid w:val="00FD0E0C"/>
    <w:rsid w:val="00FD12AD"/>
    <w:rsid w:val="00FD256F"/>
    <w:rsid w:val="00FD3337"/>
    <w:rsid w:val="00FD37E2"/>
    <w:rsid w:val="00FD50E6"/>
    <w:rsid w:val="00FD63D9"/>
    <w:rsid w:val="00FD7AC0"/>
    <w:rsid w:val="00FE08A1"/>
    <w:rsid w:val="00FE3407"/>
    <w:rsid w:val="00FE4131"/>
    <w:rsid w:val="00FE4A0A"/>
    <w:rsid w:val="00FE4D7D"/>
    <w:rsid w:val="00FE5E40"/>
    <w:rsid w:val="00FE6796"/>
    <w:rsid w:val="00FE6A43"/>
    <w:rsid w:val="00FE6AC1"/>
    <w:rsid w:val="00FF016E"/>
    <w:rsid w:val="00FF0B48"/>
    <w:rsid w:val="00FF10DC"/>
    <w:rsid w:val="00FF2D2E"/>
    <w:rsid w:val="00FF3A0E"/>
    <w:rsid w:val="00FF3E3A"/>
    <w:rsid w:val="00FF5408"/>
    <w:rsid w:val="01301A70"/>
    <w:rsid w:val="01535EBC"/>
    <w:rsid w:val="01A051A5"/>
    <w:rsid w:val="01AD6336"/>
    <w:rsid w:val="01AD73F5"/>
    <w:rsid w:val="01D80251"/>
    <w:rsid w:val="01ED2F4F"/>
    <w:rsid w:val="021676AC"/>
    <w:rsid w:val="022005DB"/>
    <w:rsid w:val="029A6F8B"/>
    <w:rsid w:val="02B61011"/>
    <w:rsid w:val="031E77DD"/>
    <w:rsid w:val="032F2A05"/>
    <w:rsid w:val="033D4C36"/>
    <w:rsid w:val="038627B8"/>
    <w:rsid w:val="04115339"/>
    <w:rsid w:val="04122769"/>
    <w:rsid w:val="0441000A"/>
    <w:rsid w:val="04424A26"/>
    <w:rsid w:val="060B7677"/>
    <w:rsid w:val="061A5313"/>
    <w:rsid w:val="0641548F"/>
    <w:rsid w:val="06492AAF"/>
    <w:rsid w:val="0671338F"/>
    <w:rsid w:val="0698417D"/>
    <w:rsid w:val="069D2949"/>
    <w:rsid w:val="06CD6568"/>
    <w:rsid w:val="06FE7FDB"/>
    <w:rsid w:val="070754CD"/>
    <w:rsid w:val="072E7F81"/>
    <w:rsid w:val="0734625B"/>
    <w:rsid w:val="07351825"/>
    <w:rsid w:val="07FA29C5"/>
    <w:rsid w:val="0806057A"/>
    <w:rsid w:val="087255D0"/>
    <w:rsid w:val="088E4584"/>
    <w:rsid w:val="08A046BD"/>
    <w:rsid w:val="08D02C41"/>
    <w:rsid w:val="08E73F86"/>
    <w:rsid w:val="08F45AE2"/>
    <w:rsid w:val="094216B7"/>
    <w:rsid w:val="09B01B12"/>
    <w:rsid w:val="09C00431"/>
    <w:rsid w:val="09C02BBF"/>
    <w:rsid w:val="0AA76BBF"/>
    <w:rsid w:val="0ABD67A5"/>
    <w:rsid w:val="0AC74C67"/>
    <w:rsid w:val="0AEC4C33"/>
    <w:rsid w:val="0AF81F7D"/>
    <w:rsid w:val="0AF9651E"/>
    <w:rsid w:val="0B0D72DF"/>
    <w:rsid w:val="0B532916"/>
    <w:rsid w:val="0BA71F9F"/>
    <w:rsid w:val="0BC24B89"/>
    <w:rsid w:val="0BF608EB"/>
    <w:rsid w:val="0D3614D2"/>
    <w:rsid w:val="0D4A190D"/>
    <w:rsid w:val="0D871014"/>
    <w:rsid w:val="0D9A18D0"/>
    <w:rsid w:val="0DD0188F"/>
    <w:rsid w:val="0DE0505C"/>
    <w:rsid w:val="0E264CC8"/>
    <w:rsid w:val="0EB94892"/>
    <w:rsid w:val="0F012471"/>
    <w:rsid w:val="0F09353F"/>
    <w:rsid w:val="0F380138"/>
    <w:rsid w:val="0F5F7948"/>
    <w:rsid w:val="0FA13584"/>
    <w:rsid w:val="100573B4"/>
    <w:rsid w:val="10BE71C3"/>
    <w:rsid w:val="10FB4A31"/>
    <w:rsid w:val="11337EFB"/>
    <w:rsid w:val="115713ED"/>
    <w:rsid w:val="11600A16"/>
    <w:rsid w:val="12456039"/>
    <w:rsid w:val="12F66907"/>
    <w:rsid w:val="130A6356"/>
    <w:rsid w:val="1360576D"/>
    <w:rsid w:val="137463DF"/>
    <w:rsid w:val="13BD2FCB"/>
    <w:rsid w:val="1426405A"/>
    <w:rsid w:val="14481B6D"/>
    <w:rsid w:val="14E52296"/>
    <w:rsid w:val="15537400"/>
    <w:rsid w:val="15562652"/>
    <w:rsid w:val="1583223F"/>
    <w:rsid w:val="15A54DA6"/>
    <w:rsid w:val="15BF72E6"/>
    <w:rsid w:val="15D64F91"/>
    <w:rsid w:val="15D92473"/>
    <w:rsid w:val="15F546BA"/>
    <w:rsid w:val="15FF414E"/>
    <w:rsid w:val="160E5BA4"/>
    <w:rsid w:val="16595AD6"/>
    <w:rsid w:val="165D02EF"/>
    <w:rsid w:val="166E3243"/>
    <w:rsid w:val="168B794A"/>
    <w:rsid w:val="16D1158E"/>
    <w:rsid w:val="17183CCA"/>
    <w:rsid w:val="174428E9"/>
    <w:rsid w:val="17452200"/>
    <w:rsid w:val="176420E2"/>
    <w:rsid w:val="178B74E4"/>
    <w:rsid w:val="17992837"/>
    <w:rsid w:val="18127246"/>
    <w:rsid w:val="18376C5B"/>
    <w:rsid w:val="183C749A"/>
    <w:rsid w:val="185E77BE"/>
    <w:rsid w:val="187472F0"/>
    <w:rsid w:val="18A81BCE"/>
    <w:rsid w:val="18BB49A9"/>
    <w:rsid w:val="19AC6797"/>
    <w:rsid w:val="19FE3D52"/>
    <w:rsid w:val="1A182E22"/>
    <w:rsid w:val="1A680331"/>
    <w:rsid w:val="1A7C2890"/>
    <w:rsid w:val="1AA8733D"/>
    <w:rsid w:val="1B0051DB"/>
    <w:rsid w:val="1B324FB0"/>
    <w:rsid w:val="1B5653C7"/>
    <w:rsid w:val="1B975ED5"/>
    <w:rsid w:val="1BAF2B27"/>
    <w:rsid w:val="1C594598"/>
    <w:rsid w:val="1C7976A4"/>
    <w:rsid w:val="1C860CBE"/>
    <w:rsid w:val="1C8735BD"/>
    <w:rsid w:val="1D0B0A16"/>
    <w:rsid w:val="1D650CC3"/>
    <w:rsid w:val="1DF36F10"/>
    <w:rsid w:val="1E1A3914"/>
    <w:rsid w:val="1EC63D7C"/>
    <w:rsid w:val="1EE13120"/>
    <w:rsid w:val="1EEC1248"/>
    <w:rsid w:val="1F4D61EB"/>
    <w:rsid w:val="1F9A6A11"/>
    <w:rsid w:val="1FFC1DC4"/>
    <w:rsid w:val="207E6C00"/>
    <w:rsid w:val="20B2740F"/>
    <w:rsid w:val="21396CB8"/>
    <w:rsid w:val="21AA7CA6"/>
    <w:rsid w:val="21AB708E"/>
    <w:rsid w:val="21FF2B6B"/>
    <w:rsid w:val="228A73C5"/>
    <w:rsid w:val="22992535"/>
    <w:rsid w:val="22B15D07"/>
    <w:rsid w:val="22DF7DFC"/>
    <w:rsid w:val="23121934"/>
    <w:rsid w:val="232A5AF9"/>
    <w:rsid w:val="238555C9"/>
    <w:rsid w:val="23A32375"/>
    <w:rsid w:val="23C522A4"/>
    <w:rsid w:val="245501C2"/>
    <w:rsid w:val="24E07E36"/>
    <w:rsid w:val="25027CEC"/>
    <w:rsid w:val="251A47DB"/>
    <w:rsid w:val="258D01A9"/>
    <w:rsid w:val="25D474A1"/>
    <w:rsid w:val="25E01AE5"/>
    <w:rsid w:val="260C0C73"/>
    <w:rsid w:val="263458F1"/>
    <w:rsid w:val="26C679EB"/>
    <w:rsid w:val="27240F9C"/>
    <w:rsid w:val="272B664F"/>
    <w:rsid w:val="27D0173F"/>
    <w:rsid w:val="281B2B80"/>
    <w:rsid w:val="28227A69"/>
    <w:rsid w:val="28E6016C"/>
    <w:rsid w:val="28E61363"/>
    <w:rsid w:val="28F81A01"/>
    <w:rsid w:val="29630D60"/>
    <w:rsid w:val="299261A8"/>
    <w:rsid w:val="29976826"/>
    <w:rsid w:val="2A447D96"/>
    <w:rsid w:val="2AA27CAB"/>
    <w:rsid w:val="2B0651FF"/>
    <w:rsid w:val="2BBE7D2C"/>
    <w:rsid w:val="2BEE5854"/>
    <w:rsid w:val="2C897AD5"/>
    <w:rsid w:val="2D2C75CF"/>
    <w:rsid w:val="2D4C2D0F"/>
    <w:rsid w:val="2D8C25BE"/>
    <w:rsid w:val="2DD90901"/>
    <w:rsid w:val="2E3F6FF1"/>
    <w:rsid w:val="2E5D0DE4"/>
    <w:rsid w:val="2EBA6468"/>
    <w:rsid w:val="2ED647A7"/>
    <w:rsid w:val="2ED6546B"/>
    <w:rsid w:val="2ED96FE6"/>
    <w:rsid w:val="2EFD6C01"/>
    <w:rsid w:val="2F1E329D"/>
    <w:rsid w:val="2F4F3840"/>
    <w:rsid w:val="2F9D42C1"/>
    <w:rsid w:val="2FA616B9"/>
    <w:rsid w:val="2FA874B2"/>
    <w:rsid w:val="2FEF61B9"/>
    <w:rsid w:val="2FF61B1F"/>
    <w:rsid w:val="303E7739"/>
    <w:rsid w:val="30623857"/>
    <w:rsid w:val="307562FE"/>
    <w:rsid w:val="308835B0"/>
    <w:rsid w:val="30A17FDC"/>
    <w:rsid w:val="30C1111D"/>
    <w:rsid w:val="30F811AB"/>
    <w:rsid w:val="312253DC"/>
    <w:rsid w:val="313E40CB"/>
    <w:rsid w:val="3186794B"/>
    <w:rsid w:val="318F0C07"/>
    <w:rsid w:val="31E871BF"/>
    <w:rsid w:val="31F01E96"/>
    <w:rsid w:val="320870E0"/>
    <w:rsid w:val="3210025C"/>
    <w:rsid w:val="32352F48"/>
    <w:rsid w:val="3297664C"/>
    <w:rsid w:val="32B86216"/>
    <w:rsid w:val="32D6021D"/>
    <w:rsid w:val="33456D0A"/>
    <w:rsid w:val="334B2D3B"/>
    <w:rsid w:val="334C77CF"/>
    <w:rsid w:val="335E5AD0"/>
    <w:rsid w:val="33C375AD"/>
    <w:rsid w:val="33ED4BAD"/>
    <w:rsid w:val="345676E2"/>
    <w:rsid w:val="345C691A"/>
    <w:rsid w:val="345E214B"/>
    <w:rsid w:val="34AD087C"/>
    <w:rsid w:val="34BD1D33"/>
    <w:rsid w:val="34CD2EB2"/>
    <w:rsid w:val="35293D5E"/>
    <w:rsid w:val="35BF24A4"/>
    <w:rsid w:val="35DC2BCB"/>
    <w:rsid w:val="35E60492"/>
    <w:rsid w:val="360C3FCB"/>
    <w:rsid w:val="3621189E"/>
    <w:rsid w:val="3631763C"/>
    <w:rsid w:val="36405BAA"/>
    <w:rsid w:val="36837E96"/>
    <w:rsid w:val="36C74C41"/>
    <w:rsid w:val="36E81D5E"/>
    <w:rsid w:val="36EB3410"/>
    <w:rsid w:val="373311E8"/>
    <w:rsid w:val="3772137C"/>
    <w:rsid w:val="378A0234"/>
    <w:rsid w:val="379F2C44"/>
    <w:rsid w:val="37F952D6"/>
    <w:rsid w:val="380D2B38"/>
    <w:rsid w:val="383F0F87"/>
    <w:rsid w:val="387C43FD"/>
    <w:rsid w:val="387D7DFF"/>
    <w:rsid w:val="38982704"/>
    <w:rsid w:val="38AD14DD"/>
    <w:rsid w:val="38DB08A3"/>
    <w:rsid w:val="3971511E"/>
    <w:rsid w:val="397C2D3D"/>
    <w:rsid w:val="39AF4AF7"/>
    <w:rsid w:val="3A060D37"/>
    <w:rsid w:val="3A815CFC"/>
    <w:rsid w:val="3ADC246A"/>
    <w:rsid w:val="3AE8609C"/>
    <w:rsid w:val="3B502CC1"/>
    <w:rsid w:val="3B516760"/>
    <w:rsid w:val="3B563DB1"/>
    <w:rsid w:val="3B6E6EB4"/>
    <w:rsid w:val="3B6F005A"/>
    <w:rsid w:val="3B923D9D"/>
    <w:rsid w:val="3BB448C9"/>
    <w:rsid w:val="3C8A3F43"/>
    <w:rsid w:val="3CFE08DB"/>
    <w:rsid w:val="3D690B94"/>
    <w:rsid w:val="3D7A7192"/>
    <w:rsid w:val="3DB138D5"/>
    <w:rsid w:val="3DB40E70"/>
    <w:rsid w:val="3E3B24BF"/>
    <w:rsid w:val="3E6C3FAF"/>
    <w:rsid w:val="3E8E0FDF"/>
    <w:rsid w:val="3EA51E2C"/>
    <w:rsid w:val="3EAC040D"/>
    <w:rsid w:val="3EF34B07"/>
    <w:rsid w:val="3F72094D"/>
    <w:rsid w:val="3FC52740"/>
    <w:rsid w:val="3FF13A3F"/>
    <w:rsid w:val="401A03CE"/>
    <w:rsid w:val="406075D2"/>
    <w:rsid w:val="406D1780"/>
    <w:rsid w:val="411B4824"/>
    <w:rsid w:val="413D5C6F"/>
    <w:rsid w:val="413D73C6"/>
    <w:rsid w:val="4181493C"/>
    <w:rsid w:val="41A22AC3"/>
    <w:rsid w:val="41DE0C28"/>
    <w:rsid w:val="42120A50"/>
    <w:rsid w:val="42C579CC"/>
    <w:rsid w:val="42C62A86"/>
    <w:rsid w:val="42EA60E9"/>
    <w:rsid w:val="434314FE"/>
    <w:rsid w:val="435C52D6"/>
    <w:rsid w:val="43645516"/>
    <w:rsid w:val="437A2C86"/>
    <w:rsid w:val="439C25AD"/>
    <w:rsid w:val="44241DDE"/>
    <w:rsid w:val="44276889"/>
    <w:rsid w:val="44530233"/>
    <w:rsid w:val="44EB798A"/>
    <w:rsid w:val="45642F6A"/>
    <w:rsid w:val="4580318F"/>
    <w:rsid w:val="459C36BB"/>
    <w:rsid w:val="464A26E8"/>
    <w:rsid w:val="464E293A"/>
    <w:rsid w:val="467D0950"/>
    <w:rsid w:val="469A4E5F"/>
    <w:rsid w:val="470569E4"/>
    <w:rsid w:val="4706752E"/>
    <w:rsid w:val="475E2800"/>
    <w:rsid w:val="4793679B"/>
    <w:rsid w:val="47A706EE"/>
    <w:rsid w:val="47DA195B"/>
    <w:rsid w:val="488A01D5"/>
    <w:rsid w:val="48BC0178"/>
    <w:rsid w:val="490B58A7"/>
    <w:rsid w:val="491A0CE2"/>
    <w:rsid w:val="493C077D"/>
    <w:rsid w:val="49490F6C"/>
    <w:rsid w:val="49587306"/>
    <w:rsid w:val="49A9444F"/>
    <w:rsid w:val="49EE28F9"/>
    <w:rsid w:val="4A1242B7"/>
    <w:rsid w:val="4A20103D"/>
    <w:rsid w:val="4A2631E4"/>
    <w:rsid w:val="4A9061CF"/>
    <w:rsid w:val="4A955F53"/>
    <w:rsid w:val="4B144D40"/>
    <w:rsid w:val="4B4107D0"/>
    <w:rsid w:val="4B805A5F"/>
    <w:rsid w:val="4BC12236"/>
    <w:rsid w:val="4BC3031A"/>
    <w:rsid w:val="4BFD2C74"/>
    <w:rsid w:val="4C234937"/>
    <w:rsid w:val="4C272014"/>
    <w:rsid w:val="4C2B36E5"/>
    <w:rsid w:val="4C9E0B90"/>
    <w:rsid w:val="4D81453D"/>
    <w:rsid w:val="4DCB1184"/>
    <w:rsid w:val="4DDD5294"/>
    <w:rsid w:val="4E1472EE"/>
    <w:rsid w:val="4E552608"/>
    <w:rsid w:val="4E68191A"/>
    <w:rsid w:val="4E6B1DD7"/>
    <w:rsid w:val="4E8F1021"/>
    <w:rsid w:val="4E960D48"/>
    <w:rsid w:val="4EE707FB"/>
    <w:rsid w:val="4F002168"/>
    <w:rsid w:val="4F3E18B2"/>
    <w:rsid w:val="4FB17A29"/>
    <w:rsid w:val="503919F1"/>
    <w:rsid w:val="50994778"/>
    <w:rsid w:val="50CB4649"/>
    <w:rsid w:val="51057F79"/>
    <w:rsid w:val="51475CC0"/>
    <w:rsid w:val="51694330"/>
    <w:rsid w:val="51836039"/>
    <w:rsid w:val="51AF698E"/>
    <w:rsid w:val="51C06621"/>
    <w:rsid w:val="51C23BAD"/>
    <w:rsid w:val="51DD319C"/>
    <w:rsid w:val="52252EBD"/>
    <w:rsid w:val="529B6F98"/>
    <w:rsid w:val="52A66C49"/>
    <w:rsid w:val="52E71FB4"/>
    <w:rsid w:val="53B54782"/>
    <w:rsid w:val="54494545"/>
    <w:rsid w:val="547B4879"/>
    <w:rsid w:val="54AA0A30"/>
    <w:rsid w:val="54CB7EA9"/>
    <w:rsid w:val="558D62F1"/>
    <w:rsid w:val="55EB77C0"/>
    <w:rsid w:val="562F0357"/>
    <w:rsid w:val="564F69B6"/>
    <w:rsid w:val="566E1BF3"/>
    <w:rsid w:val="569F775B"/>
    <w:rsid w:val="57303A7C"/>
    <w:rsid w:val="57481A8E"/>
    <w:rsid w:val="58337254"/>
    <w:rsid w:val="58E00C77"/>
    <w:rsid w:val="58F0210A"/>
    <w:rsid w:val="59526204"/>
    <w:rsid w:val="59AD0C40"/>
    <w:rsid w:val="59AD1538"/>
    <w:rsid w:val="59AE2D44"/>
    <w:rsid w:val="59C23FD3"/>
    <w:rsid w:val="5A0B5E95"/>
    <w:rsid w:val="5A246F57"/>
    <w:rsid w:val="5A377F44"/>
    <w:rsid w:val="5A742D4C"/>
    <w:rsid w:val="5ACA6272"/>
    <w:rsid w:val="5AF00B1A"/>
    <w:rsid w:val="5AF95A23"/>
    <w:rsid w:val="5B4E0B38"/>
    <w:rsid w:val="5B5E75EC"/>
    <w:rsid w:val="5B9613B7"/>
    <w:rsid w:val="5BCB44AB"/>
    <w:rsid w:val="5BE96D14"/>
    <w:rsid w:val="5BF13CF3"/>
    <w:rsid w:val="5C2B273D"/>
    <w:rsid w:val="5C8C55D5"/>
    <w:rsid w:val="5C9536D3"/>
    <w:rsid w:val="5CBF18BC"/>
    <w:rsid w:val="5CF07939"/>
    <w:rsid w:val="5D2802F3"/>
    <w:rsid w:val="5D80343C"/>
    <w:rsid w:val="5D850726"/>
    <w:rsid w:val="5E022EA9"/>
    <w:rsid w:val="5E164D40"/>
    <w:rsid w:val="5E183330"/>
    <w:rsid w:val="5EA1196F"/>
    <w:rsid w:val="5EBA0F5F"/>
    <w:rsid w:val="5EEA4CD2"/>
    <w:rsid w:val="5F046F44"/>
    <w:rsid w:val="5F1F06B8"/>
    <w:rsid w:val="5F4F7A12"/>
    <w:rsid w:val="5F9C495E"/>
    <w:rsid w:val="604C5FB7"/>
    <w:rsid w:val="60A239C9"/>
    <w:rsid w:val="60FA6D79"/>
    <w:rsid w:val="61175A8E"/>
    <w:rsid w:val="613A17BA"/>
    <w:rsid w:val="61577614"/>
    <w:rsid w:val="617F1A46"/>
    <w:rsid w:val="620F2C00"/>
    <w:rsid w:val="62184B39"/>
    <w:rsid w:val="622007D5"/>
    <w:rsid w:val="626D1426"/>
    <w:rsid w:val="62C74C67"/>
    <w:rsid w:val="637558D0"/>
    <w:rsid w:val="637B5306"/>
    <w:rsid w:val="63851CFD"/>
    <w:rsid w:val="63B12810"/>
    <w:rsid w:val="63FE0FD3"/>
    <w:rsid w:val="6530763D"/>
    <w:rsid w:val="6531024B"/>
    <w:rsid w:val="66257BD6"/>
    <w:rsid w:val="667C7C00"/>
    <w:rsid w:val="668E1C3C"/>
    <w:rsid w:val="66F44120"/>
    <w:rsid w:val="67390939"/>
    <w:rsid w:val="676C2CBF"/>
    <w:rsid w:val="68791231"/>
    <w:rsid w:val="68BF756D"/>
    <w:rsid w:val="68CE27BB"/>
    <w:rsid w:val="691F09A3"/>
    <w:rsid w:val="69500604"/>
    <w:rsid w:val="696D08E0"/>
    <w:rsid w:val="69C15A14"/>
    <w:rsid w:val="69CC2B0F"/>
    <w:rsid w:val="6A8848D8"/>
    <w:rsid w:val="6AC10B58"/>
    <w:rsid w:val="6B8954B5"/>
    <w:rsid w:val="6BAE42B9"/>
    <w:rsid w:val="6BDF5F4E"/>
    <w:rsid w:val="6BED58AF"/>
    <w:rsid w:val="6C50014D"/>
    <w:rsid w:val="6C597288"/>
    <w:rsid w:val="6C612D7E"/>
    <w:rsid w:val="6C7102D6"/>
    <w:rsid w:val="6C9D1BCF"/>
    <w:rsid w:val="6D3470DE"/>
    <w:rsid w:val="6D4275F9"/>
    <w:rsid w:val="6D914092"/>
    <w:rsid w:val="6D9B3A9B"/>
    <w:rsid w:val="6E216952"/>
    <w:rsid w:val="6EC1201F"/>
    <w:rsid w:val="6EC13E48"/>
    <w:rsid w:val="6EDC23DD"/>
    <w:rsid w:val="6F0F18E5"/>
    <w:rsid w:val="6F165DBC"/>
    <w:rsid w:val="6F364B5F"/>
    <w:rsid w:val="6F3E4050"/>
    <w:rsid w:val="6F5B5650"/>
    <w:rsid w:val="6F660F70"/>
    <w:rsid w:val="6F92795A"/>
    <w:rsid w:val="6FA37BFA"/>
    <w:rsid w:val="70490B05"/>
    <w:rsid w:val="705052FB"/>
    <w:rsid w:val="70AD0488"/>
    <w:rsid w:val="70ED5338"/>
    <w:rsid w:val="70F161A9"/>
    <w:rsid w:val="71124B9B"/>
    <w:rsid w:val="713E6EBD"/>
    <w:rsid w:val="714E09F3"/>
    <w:rsid w:val="717362D3"/>
    <w:rsid w:val="71FA1C5E"/>
    <w:rsid w:val="72054BED"/>
    <w:rsid w:val="720B608D"/>
    <w:rsid w:val="72323F70"/>
    <w:rsid w:val="72422A0F"/>
    <w:rsid w:val="72512E1B"/>
    <w:rsid w:val="729E7714"/>
    <w:rsid w:val="72ED6E2C"/>
    <w:rsid w:val="73A96C48"/>
    <w:rsid w:val="73F6333E"/>
    <w:rsid w:val="743301F6"/>
    <w:rsid w:val="74527DA5"/>
    <w:rsid w:val="748847CC"/>
    <w:rsid w:val="74B843B3"/>
    <w:rsid w:val="74DA7702"/>
    <w:rsid w:val="75127471"/>
    <w:rsid w:val="751471B8"/>
    <w:rsid w:val="75FA352D"/>
    <w:rsid w:val="7614349B"/>
    <w:rsid w:val="761E064F"/>
    <w:rsid w:val="7663600F"/>
    <w:rsid w:val="767D2049"/>
    <w:rsid w:val="768207A5"/>
    <w:rsid w:val="76A2179B"/>
    <w:rsid w:val="76D51348"/>
    <w:rsid w:val="76D66050"/>
    <w:rsid w:val="770352EE"/>
    <w:rsid w:val="77565832"/>
    <w:rsid w:val="776E4150"/>
    <w:rsid w:val="77762D22"/>
    <w:rsid w:val="77890BDB"/>
    <w:rsid w:val="7793733B"/>
    <w:rsid w:val="77BA414F"/>
    <w:rsid w:val="77D3660D"/>
    <w:rsid w:val="785437D3"/>
    <w:rsid w:val="78565AAF"/>
    <w:rsid w:val="78BE7CBA"/>
    <w:rsid w:val="78C71CD3"/>
    <w:rsid w:val="78DD3131"/>
    <w:rsid w:val="79430348"/>
    <w:rsid w:val="79701A39"/>
    <w:rsid w:val="7A082988"/>
    <w:rsid w:val="7A1C10FB"/>
    <w:rsid w:val="7A424D7F"/>
    <w:rsid w:val="7A4D4FC3"/>
    <w:rsid w:val="7A8A4F36"/>
    <w:rsid w:val="7AB87EDD"/>
    <w:rsid w:val="7ABA7BB0"/>
    <w:rsid w:val="7AC84DC1"/>
    <w:rsid w:val="7AE64B83"/>
    <w:rsid w:val="7B002162"/>
    <w:rsid w:val="7B124FB7"/>
    <w:rsid w:val="7B361A8A"/>
    <w:rsid w:val="7BAE5A06"/>
    <w:rsid w:val="7BDF1C40"/>
    <w:rsid w:val="7CAB63B7"/>
    <w:rsid w:val="7CB818B8"/>
    <w:rsid w:val="7CD50713"/>
    <w:rsid w:val="7D8C5E76"/>
    <w:rsid w:val="7DA0352B"/>
    <w:rsid w:val="7DB019FA"/>
    <w:rsid w:val="7DCC7103"/>
    <w:rsid w:val="7DDB2B1D"/>
    <w:rsid w:val="7E8D32EE"/>
    <w:rsid w:val="7E8E0310"/>
    <w:rsid w:val="7EBD25E5"/>
    <w:rsid w:val="7F1D5ECC"/>
    <w:rsid w:val="7F8E7BAE"/>
    <w:rsid w:val="7FAC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4FD52A5-CABC-4CC1-AE98-30A10F686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numPr>
        <w:numId w:val="0"/>
      </w:num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Char0"/>
    <w:qFormat/>
  </w:style>
  <w:style w:type="paragraph" w:styleId="a5">
    <w:name w:val="Body Text"/>
    <w:basedOn w:val="a"/>
    <w:link w:val="Char1"/>
    <w:qFormat/>
    <w:pPr>
      <w:spacing w:after="180" w:line="240" w:lineRule="auto"/>
    </w:pPr>
    <w:rPr>
      <w:rFonts w:ascii="Times New Roman" w:hAnsi="Times New Roman" w:cs="Times New Roman"/>
      <w:sz w:val="20"/>
      <w:szCs w:val="20"/>
      <w:lang w:val="en-GB" w:eastAsia="en-US"/>
    </w:rPr>
  </w:style>
  <w:style w:type="paragraph" w:styleId="a6">
    <w:name w:val="Balloon Text"/>
    <w:basedOn w:val="a"/>
    <w:link w:val="Char2"/>
    <w:qFormat/>
    <w:pPr>
      <w:spacing w:after="0" w:line="240" w:lineRule="auto"/>
    </w:pPr>
    <w:rPr>
      <w:sz w:val="18"/>
      <w:szCs w:val="18"/>
    </w:rPr>
  </w:style>
  <w:style w:type="paragraph" w:styleId="a7">
    <w:name w:val="footer"/>
    <w:basedOn w:val="a"/>
    <w:link w:val="Char3"/>
    <w:qFormat/>
    <w:pPr>
      <w:tabs>
        <w:tab w:val="center" w:pos="4153"/>
        <w:tab w:val="right" w:pos="8306"/>
      </w:tabs>
      <w:snapToGrid w:val="0"/>
      <w:spacing w:line="240" w:lineRule="auto"/>
    </w:pPr>
    <w:rPr>
      <w:sz w:val="18"/>
      <w:szCs w:val="18"/>
    </w:rPr>
  </w:style>
  <w:style w:type="paragraph" w:styleId="a8">
    <w:name w:val="header"/>
    <w:basedOn w:val="a"/>
    <w:link w:val="Char4"/>
    <w:qFormat/>
    <w:pPr>
      <w:pBdr>
        <w:bottom w:val="single" w:sz="6" w:space="1" w:color="auto"/>
      </w:pBdr>
      <w:tabs>
        <w:tab w:val="center" w:pos="4153"/>
        <w:tab w:val="right" w:pos="8306"/>
      </w:tabs>
      <w:snapToGrid w:val="0"/>
      <w:spacing w:line="240" w:lineRule="auto"/>
      <w:jc w:val="center"/>
    </w:pPr>
    <w:rPr>
      <w:sz w:val="18"/>
      <w:szCs w:val="18"/>
    </w:rPr>
  </w:style>
  <w:style w:type="paragraph" w:styleId="a9">
    <w:name w:val="annotation subject"/>
    <w:basedOn w:val="a4"/>
    <w:next w:val="a4"/>
    <w:link w:val="Char5"/>
    <w:qFormat/>
    <w:rPr>
      <w:b/>
      <w:bCs/>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uiPriority w:val="22"/>
    <w:qFormat/>
    <w:rPr>
      <w:b/>
      <w:bCs/>
    </w:rPr>
  </w:style>
  <w:style w:type="character" w:styleId="ac">
    <w:name w:val="annotation reference"/>
    <w:basedOn w:val="a0"/>
    <w:qFormat/>
    <w:rPr>
      <w:sz w:val="21"/>
      <w:szCs w:val="21"/>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numPr>
        <w:numId w:val="2"/>
      </w:numPr>
      <w:tabs>
        <w:tab w:val="left" w:pos="1701"/>
      </w:tabs>
      <w:spacing w:after="0" w:line="240" w:lineRule="auto"/>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character" w:customStyle="1" w:styleId="Char2">
    <w:name w:val="批注框文本 Char"/>
    <w:basedOn w:val="a0"/>
    <w:link w:val="a6"/>
    <w:qFormat/>
    <w:rPr>
      <w:rFonts w:asciiTheme="minorHAnsi" w:eastAsiaTheme="minorEastAsia" w:hAnsiTheme="minorHAnsi" w:cstheme="minorBidi"/>
      <w:sz w:val="18"/>
      <w:szCs w:val="18"/>
    </w:rPr>
  </w:style>
  <w:style w:type="paragraph" w:styleId="ad">
    <w:name w:val="List Paragraph"/>
    <w:basedOn w:val="a"/>
    <w:uiPriority w:val="99"/>
    <w:qFormat/>
    <w:pPr>
      <w:ind w:firstLineChars="200" w:firstLine="420"/>
    </w:pPr>
  </w:style>
  <w:style w:type="character" w:customStyle="1" w:styleId="Char0">
    <w:name w:val="批注文字 Char"/>
    <w:basedOn w:val="a0"/>
    <w:link w:val="a4"/>
    <w:qFormat/>
    <w:rPr>
      <w:rFonts w:asciiTheme="minorHAnsi" w:eastAsiaTheme="minorEastAsia" w:hAnsiTheme="minorHAnsi" w:cstheme="minorBidi"/>
      <w:sz w:val="22"/>
      <w:szCs w:val="22"/>
    </w:rPr>
  </w:style>
  <w:style w:type="character" w:customStyle="1" w:styleId="Char5">
    <w:name w:val="批注主题 Char"/>
    <w:basedOn w:val="Char0"/>
    <w:link w:val="a9"/>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Char4">
    <w:name w:val="页眉 Char"/>
    <w:basedOn w:val="a0"/>
    <w:link w:val="a8"/>
    <w:qFormat/>
    <w:rPr>
      <w:rFonts w:asciiTheme="minorHAnsi" w:eastAsiaTheme="minorEastAsia" w:hAnsiTheme="minorHAnsi" w:cstheme="minorBidi"/>
      <w:sz w:val="18"/>
      <w:szCs w:val="18"/>
    </w:rPr>
  </w:style>
  <w:style w:type="character" w:customStyle="1" w:styleId="Char3">
    <w:name w:val="页脚 Char"/>
    <w:basedOn w:val="a0"/>
    <w:link w:val="a7"/>
    <w:qFormat/>
    <w:rPr>
      <w:rFonts w:asciiTheme="minorHAnsi" w:eastAsiaTheme="minorEastAsia" w:hAnsiTheme="minorHAnsi" w:cstheme="minorBidi"/>
      <w:sz w:val="18"/>
      <w:szCs w:val="18"/>
    </w:rPr>
  </w:style>
  <w:style w:type="character" w:customStyle="1" w:styleId="Char">
    <w:name w:val="题注 Char"/>
    <w:link w:val="a3"/>
    <w:qFormat/>
    <w:rPr>
      <w:rFonts w:eastAsia="宋体"/>
      <w:b/>
      <w:bCs/>
      <w:kern w:val="2"/>
      <w:lang w:val="en-GB"/>
    </w:rPr>
  </w:style>
  <w:style w:type="character" w:customStyle="1" w:styleId="Char1">
    <w:name w:val="正文文本 Char"/>
    <w:basedOn w:val="a0"/>
    <w:link w:val="a5"/>
    <w:qFormat/>
    <w:rPr>
      <w:rFonts w:eastAsiaTheme="minorEastAsia"/>
      <w:lang w:val="en-GB" w:eastAsia="en-US"/>
    </w:rPr>
  </w:style>
  <w:style w:type="paragraph" w:customStyle="1" w:styleId="10">
    <w:name w:val="正文1"/>
    <w:qFormat/>
    <w:pPr>
      <w:spacing w:before="100" w:beforeAutospacing="1" w:after="180"/>
    </w:pPr>
    <w:rPr>
      <w:rFonts w:eastAsia="宋体"/>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3"/>
      </w:numPr>
    </w:pPr>
  </w:style>
  <w:style w:type="character" w:customStyle="1" w:styleId="2Char">
    <w:name w:val="标题 2 Char"/>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e">
    <w:name w:val="Placeholder Text"/>
    <w:basedOn w:val="a0"/>
    <w:uiPriority w:val="99"/>
    <w:semiHidden/>
    <w:qFormat/>
    <w:rPr>
      <w:color w:val="808080"/>
    </w:rPr>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0">
    <w:name w:val="修订2"/>
    <w:hidden/>
    <w:uiPriority w:val="99"/>
    <w:semiHidden/>
    <w:qFormat/>
    <w:rPr>
      <w:rFonts w:asciiTheme="minorHAnsi" w:eastAsiaTheme="minorEastAsia" w:hAnsiTheme="minorHAnsi" w:cstheme="minorBidi"/>
      <w:sz w:val="22"/>
      <w:szCs w:val="22"/>
    </w:rPr>
  </w:style>
  <w:style w:type="paragraph" w:customStyle="1" w:styleId="Doc-text2">
    <w:name w:val="Doc-text2"/>
    <w:basedOn w:val="a"/>
    <w:link w:val="Doc-text2Char"/>
    <w:qFormat/>
    <w:rsid w:val="00BA7EEF"/>
    <w:pPr>
      <w:tabs>
        <w:tab w:val="left" w:pos="1622"/>
      </w:tabs>
      <w:overflowPunct w:val="0"/>
      <w:autoSpaceDE w:val="0"/>
      <w:autoSpaceDN w:val="0"/>
      <w:adjustRightInd w:val="0"/>
      <w:spacing w:after="0" w:line="240" w:lineRule="auto"/>
      <w:ind w:left="1622" w:hanging="363"/>
      <w:textAlignment w:val="baseline"/>
    </w:pPr>
    <w:rPr>
      <w:rFonts w:ascii="Arial" w:eastAsia="Times New Roman" w:hAnsi="Arial" w:cs="Times New Roman"/>
      <w:sz w:val="20"/>
      <w:szCs w:val="20"/>
      <w:lang w:val="en-GB" w:eastAsia="ja-JP"/>
    </w:rPr>
  </w:style>
  <w:style w:type="character" w:customStyle="1" w:styleId="Doc-text2Char">
    <w:name w:val="Doc-text2 Char"/>
    <w:link w:val="Doc-text2"/>
    <w:qFormat/>
    <w:rsid w:val="00BA7EEF"/>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854D63-70AA-4AF6-9D82-7C9C4B2CB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6</Pages>
  <Words>2188</Words>
  <Characters>12475</Characters>
  <Application>Microsoft Office Word</Application>
  <DocSecurity>0</DocSecurity>
  <Lines>103</Lines>
  <Paragraphs>29</Paragraphs>
  <ScaleCrop>false</ScaleCrop>
  <Company/>
  <LinksUpToDate>false</LinksUpToDate>
  <CharactersWithSpaces>14634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243</cp:revision>
  <dcterms:created xsi:type="dcterms:W3CDTF">2021-05-07T02:32:00Z</dcterms:created>
  <dcterms:modified xsi:type="dcterms:W3CDTF">2021-05-12T02:06:00Z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